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76" w:rsidRPr="004B205E" w:rsidRDefault="00E655D9" w:rsidP="004B205E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Form </w:t>
      </w:r>
      <w:r w:rsidR="004B205E" w:rsidRPr="004B205E">
        <w:rPr>
          <w:rFonts w:ascii="Arial Narrow" w:hAnsi="Arial Narrow"/>
          <w:sz w:val="18"/>
          <w:szCs w:val="18"/>
        </w:rPr>
        <w:t xml:space="preserve">Revised </w:t>
      </w:r>
      <w:r w:rsidR="001F6B16">
        <w:rPr>
          <w:rFonts w:ascii="Arial Narrow" w:hAnsi="Arial Narrow"/>
          <w:sz w:val="18"/>
          <w:szCs w:val="18"/>
        </w:rPr>
        <w:t>9/24/13</w:t>
      </w:r>
    </w:p>
    <w:p w:rsidR="00E504B1" w:rsidRPr="00176309" w:rsidRDefault="00E504B1" w:rsidP="00D67356">
      <w:pPr>
        <w:jc w:val="center"/>
        <w:rPr>
          <w:rFonts w:ascii="Arial Narrow" w:hAnsi="Arial Narrow"/>
          <w:b/>
          <w:sz w:val="28"/>
          <w:szCs w:val="28"/>
        </w:rPr>
      </w:pPr>
    </w:p>
    <w:p w:rsidR="00D67356" w:rsidRPr="00176309" w:rsidRDefault="001F6B16" w:rsidP="00D67356">
      <w:pPr>
        <w:jc w:val="center"/>
        <w:rPr>
          <w:rFonts w:ascii="Arial Narrow" w:hAnsi="Arial Narrow"/>
          <w:b/>
          <w:sz w:val="28"/>
          <w:szCs w:val="28"/>
        </w:rPr>
      </w:pPr>
      <w:r w:rsidRPr="00176309">
        <w:rPr>
          <w:rFonts w:ascii="Arial Narrow" w:hAnsi="Arial Narrow"/>
          <w:b/>
          <w:sz w:val="28"/>
          <w:szCs w:val="28"/>
        </w:rPr>
        <w:t>Academic Policy Proposal</w:t>
      </w:r>
    </w:p>
    <w:tbl>
      <w:tblPr>
        <w:tblStyle w:val="TableGrid"/>
        <w:tblpPr w:leftFromText="180" w:rightFromText="180" w:vertAnchor="text" w:horzAnchor="page" w:tblpX="1" w:tblpY="97"/>
        <w:tblW w:w="20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  <w:gridCol w:w="10080"/>
      </w:tblGrid>
      <w:tr w:rsidR="0075586D" w:rsidRPr="00176309" w:rsidTr="00A62938">
        <w:tc>
          <w:tcPr>
            <w:tcW w:w="10080" w:type="dxa"/>
            <w:vAlign w:val="center"/>
          </w:tcPr>
          <w:p w:rsidR="0075586D" w:rsidRPr="00176309" w:rsidRDefault="0075586D" w:rsidP="0075586D">
            <w:pPr>
              <w:ind w:left="877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76309">
              <w:rPr>
                <w:rFonts w:ascii="Arial Narrow" w:hAnsi="Arial Narrow"/>
                <w:b/>
                <w:color w:val="000000"/>
                <w:sz w:val="20"/>
                <w:szCs w:val="20"/>
              </w:rPr>
              <w:t>INITIATING GROUP / UNIT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:        CAS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CPA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LAW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MSB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UFS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Office of the Provost  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0080" w:type="dxa"/>
          </w:tcPr>
          <w:p w:rsidR="0075586D" w:rsidRPr="00176309" w:rsidRDefault="0075586D" w:rsidP="0075586D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75586D" w:rsidRPr="00176309" w:rsidTr="00A62938">
        <w:tc>
          <w:tcPr>
            <w:tcW w:w="10080" w:type="dxa"/>
            <w:vAlign w:val="center"/>
          </w:tcPr>
          <w:p w:rsidR="0075586D" w:rsidRPr="00176309" w:rsidRDefault="0075586D" w:rsidP="0075586D">
            <w:pPr>
              <w:ind w:left="877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76309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CONTACT NAME: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Candace Caraco</w:t>
            </w:r>
            <w:r w:rsidRPr="00176309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                                                                    PHONE: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5243</w:t>
            </w:r>
          </w:p>
        </w:tc>
        <w:tc>
          <w:tcPr>
            <w:tcW w:w="10080" w:type="dxa"/>
          </w:tcPr>
          <w:p w:rsidR="0075586D" w:rsidRPr="00176309" w:rsidRDefault="0075586D" w:rsidP="0075586D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75586D" w:rsidRPr="00176309" w:rsidTr="00A62938">
        <w:tc>
          <w:tcPr>
            <w:tcW w:w="10080" w:type="dxa"/>
            <w:vAlign w:val="center"/>
          </w:tcPr>
          <w:p w:rsidR="0075586D" w:rsidRPr="00480080" w:rsidRDefault="0075586D" w:rsidP="0075586D">
            <w:pPr>
              <w:ind w:left="877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76309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POLICY TITLE:     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NR Grade</w:t>
            </w:r>
          </w:p>
        </w:tc>
        <w:tc>
          <w:tcPr>
            <w:tcW w:w="10080" w:type="dxa"/>
          </w:tcPr>
          <w:p w:rsidR="0075586D" w:rsidRPr="00176309" w:rsidRDefault="0075586D" w:rsidP="0075586D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75586D" w:rsidRPr="00176309" w:rsidTr="00A62938">
        <w:tc>
          <w:tcPr>
            <w:tcW w:w="10080" w:type="dxa"/>
            <w:vAlign w:val="center"/>
          </w:tcPr>
          <w:p w:rsidR="0075586D" w:rsidRPr="00176309" w:rsidRDefault="0075586D" w:rsidP="0075586D">
            <w:pPr>
              <w:ind w:left="877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76309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APPLIES TO:      </w:t>
            </w:r>
            <w:r w:rsidRPr="005533E4">
              <w:rPr>
                <w:rFonts w:ascii="Arial Narrow" w:hAnsi="Arial Narrow"/>
                <w:color w:val="000000"/>
                <w:sz w:val="20"/>
                <w:szCs w:val="20"/>
              </w:rPr>
              <w:t>CAS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CPA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LAW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MSB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applies to all schools</w:t>
            </w:r>
          </w:p>
        </w:tc>
        <w:tc>
          <w:tcPr>
            <w:tcW w:w="10080" w:type="dxa"/>
          </w:tcPr>
          <w:p w:rsidR="0075586D" w:rsidRPr="00176309" w:rsidRDefault="0075586D" w:rsidP="0075586D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75586D" w:rsidRPr="00176309" w:rsidTr="00A62938">
        <w:trPr>
          <w:trHeight w:val="377"/>
        </w:trPr>
        <w:tc>
          <w:tcPr>
            <w:tcW w:w="10080" w:type="dxa"/>
            <w:vAlign w:val="center"/>
          </w:tcPr>
          <w:p w:rsidR="0075586D" w:rsidRPr="00176309" w:rsidRDefault="0075586D" w:rsidP="0075586D">
            <w:pPr>
              <w:ind w:left="877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76309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SPECIFIC PROGRAM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(if applicable):      </w:t>
            </w:r>
          </w:p>
        </w:tc>
        <w:tc>
          <w:tcPr>
            <w:tcW w:w="10080" w:type="dxa"/>
          </w:tcPr>
          <w:p w:rsidR="0075586D" w:rsidRPr="00176309" w:rsidRDefault="0075586D" w:rsidP="0075586D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75586D" w:rsidRPr="00176309" w:rsidTr="00A62938">
        <w:tc>
          <w:tcPr>
            <w:tcW w:w="10080" w:type="dxa"/>
            <w:vAlign w:val="center"/>
          </w:tcPr>
          <w:p w:rsidR="0075586D" w:rsidRPr="00176309" w:rsidRDefault="0075586D" w:rsidP="0075586D">
            <w:pPr>
              <w:ind w:left="877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76309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PROPOSED IMPLEMENTATION DATE / SEMESTER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:     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Fall 2019 (catalog policy)</w:t>
            </w:r>
          </w:p>
        </w:tc>
        <w:tc>
          <w:tcPr>
            <w:tcW w:w="10080" w:type="dxa"/>
          </w:tcPr>
          <w:p w:rsidR="0075586D" w:rsidRPr="00176309" w:rsidRDefault="0075586D" w:rsidP="0075586D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</w:tbl>
    <w:p w:rsidR="00D67356" w:rsidRPr="00176309" w:rsidRDefault="0075586D" w:rsidP="00D67356">
      <w:pPr>
        <w:rPr>
          <w:rFonts w:ascii="Arial Narrow" w:hAnsi="Arial Narrow"/>
        </w:rPr>
      </w:pPr>
      <w:r w:rsidRPr="0017630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6EA49" wp14:editId="5336C491">
                <wp:simplePos x="0" y="0"/>
                <wp:positionH relativeFrom="column">
                  <wp:posOffset>-523875</wp:posOffset>
                </wp:positionH>
                <wp:positionV relativeFrom="paragraph">
                  <wp:posOffset>1080135</wp:posOffset>
                </wp:positionV>
                <wp:extent cx="6400800" cy="21336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080" w:rsidRPr="0075586D" w:rsidRDefault="00D67356" w:rsidP="004800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E798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I.  Statement of Purpose</w:t>
                            </w:r>
                            <w:r w:rsidR="0075586D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798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293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UB does</w:t>
                            </w:r>
                            <w:r w:rsidR="00480080" w:rsidRPr="007558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not have a temporary grade available for emergencies as TG is reserved for cases of academic integrity. Frostburg use</w:t>
                            </w:r>
                            <w:r w:rsidR="0075586D" w:rsidRPr="007558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 NR for “grade not reported by instructor.”  (See their UG catalog p. 44.) </w:t>
                            </w:r>
                            <w:r w:rsidR="00480080" w:rsidRPr="007558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The grade would be used in the following situations, which should be rare:</w:t>
                            </w:r>
                          </w:p>
                          <w:p w:rsidR="00480080" w:rsidRPr="0075586D" w:rsidRDefault="00480080" w:rsidP="004800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558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--a facult</w:t>
                            </w:r>
                            <w:r w:rsidR="0075586D" w:rsidRPr="007558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y member becomes critically ill (or the like) </w:t>
                            </w:r>
                            <w:r w:rsidRPr="007558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after the final but before grades are submitted</w:t>
                            </w:r>
                          </w:p>
                          <w:p w:rsidR="00480080" w:rsidRPr="0075586D" w:rsidRDefault="00480080" w:rsidP="004800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558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--a faculty member </w:t>
                            </w:r>
                            <w:r w:rsidR="0075586D" w:rsidRPr="007558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must leave </w:t>
                            </w:r>
                            <w:r w:rsidRPr="007558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at some point during the term near when grades are due and the transition is still happening to the new instructor</w:t>
                            </w:r>
                          </w:p>
                          <w:p w:rsidR="00480080" w:rsidRPr="0075586D" w:rsidRDefault="00480080" w:rsidP="004800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558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--a student has been participating in a class all term but pulls a no-show at the final and can’t be located in the hours before grades are due; however, the student has not agreed to an incomplete.  In some cases, students have had car accidents, hospitalizations etc.</w:t>
                            </w:r>
                            <w:r w:rsidR="007558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).</w:t>
                            </w:r>
                            <w:r w:rsidRPr="007558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80080" w:rsidRPr="00A62938" w:rsidRDefault="0075586D" w:rsidP="0048008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6293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NB – As soon as grades are in, reports are run to determine students’ academic progress and if they can register for courses the next term that have prerequisites. </w:t>
                            </w:r>
                            <w:r w:rsidR="00480080" w:rsidRPr="00A6293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 single blank grade in a roster can</w:t>
                            </w:r>
                            <w:r w:rsidRPr="00A6293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hold up these checks </w:t>
                            </w:r>
                            <w:r w:rsidR="00480080" w:rsidRPr="00A6293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 all other students</w:t>
                            </w:r>
                            <w:r w:rsidRPr="00A6293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62938" w:rsidRPr="00A6293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in the class. NR will prevent this delay for all but the NR recipient. </w:t>
                            </w:r>
                            <w:r w:rsidRPr="00A6293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80080" w:rsidRDefault="00480080" w:rsidP="00480080"/>
                          <w:p w:rsidR="00480080" w:rsidRDefault="00480080" w:rsidP="00480080">
                            <w:r>
                              <w:t xml:space="preserve">NR would have to be replaced by a grade or an I within 30 days.  But maybe the policy is 21 days and then there’s a week to chase down the final answer.  </w:t>
                            </w:r>
                          </w:p>
                          <w:p w:rsidR="00D67356" w:rsidRPr="00EE7987" w:rsidRDefault="00D67356" w:rsidP="00D67356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6EA4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1.25pt;margin-top:85.05pt;width:7in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EfKAIAAFEEAAAOAAAAZHJzL2Uyb0RvYy54bWysVNtu2zAMfR+wfxD0vthJkyw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">
                <v:textbox>
                  <w:txbxContent>
                    <w:p w:rsidR="00480080" w:rsidRPr="0075586D" w:rsidRDefault="00D67356" w:rsidP="004800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E798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I.  Statement of Purpose</w:t>
                      </w:r>
                      <w:r w:rsidR="0075586D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E798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="00A62938">
                        <w:rPr>
                          <w:rFonts w:ascii="Calibri" w:hAnsi="Calibri"/>
                          <w:sz w:val="22"/>
                          <w:szCs w:val="22"/>
                        </w:rPr>
                        <w:t>UB does</w:t>
                      </w:r>
                      <w:r w:rsidR="00480080" w:rsidRPr="0075586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not have a temporary grade available for emergencies as TG is reserved for cases of academic integrity. Frostburg use</w:t>
                      </w:r>
                      <w:r w:rsidR="0075586D" w:rsidRPr="0075586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 NR for “grade not reported by instructor.”  (See their UG catalog p. 44.) </w:t>
                      </w:r>
                      <w:r w:rsidR="00480080" w:rsidRPr="0075586D">
                        <w:rPr>
                          <w:rFonts w:ascii="Calibri" w:hAnsi="Calibri"/>
                          <w:sz w:val="22"/>
                          <w:szCs w:val="22"/>
                        </w:rPr>
                        <w:t>The grade would be used in the following situations, which should be rare:</w:t>
                      </w:r>
                    </w:p>
                    <w:p w:rsidR="00480080" w:rsidRPr="0075586D" w:rsidRDefault="00480080" w:rsidP="004800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5586D">
                        <w:rPr>
                          <w:rFonts w:ascii="Calibri" w:hAnsi="Calibri"/>
                          <w:sz w:val="22"/>
                          <w:szCs w:val="22"/>
                        </w:rPr>
                        <w:t>--a facult</w:t>
                      </w:r>
                      <w:r w:rsidR="0075586D" w:rsidRPr="0075586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y member becomes critically ill (or the like) </w:t>
                      </w:r>
                      <w:r w:rsidRPr="0075586D">
                        <w:rPr>
                          <w:rFonts w:ascii="Calibri" w:hAnsi="Calibri"/>
                          <w:sz w:val="22"/>
                          <w:szCs w:val="22"/>
                        </w:rPr>
                        <w:t>after the final but before grades are submitted</w:t>
                      </w:r>
                    </w:p>
                    <w:p w:rsidR="00480080" w:rsidRPr="0075586D" w:rsidRDefault="00480080" w:rsidP="004800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5586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--a faculty member </w:t>
                      </w:r>
                      <w:r w:rsidR="0075586D" w:rsidRPr="0075586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must leave </w:t>
                      </w:r>
                      <w:r w:rsidRPr="0075586D">
                        <w:rPr>
                          <w:rFonts w:ascii="Calibri" w:hAnsi="Calibri"/>
                          <w:sz w:val="22"/>
                          <w:szCs w:val="22"/>
                        </w:rPr>
                        <w:t>at some point during the term near when grades are due and the transition is still happening to the new instructor</w:t>
                      </w:r>
                    </w:p>
                    <w:p w:rsidR="00480080" w:rsidRPr="0075586D" w:rsidRDefault="00480080" w:rsidP="00480080">
                      <w:pPr>
                        <w:rPr>
                          <w:rFonts w:ascii="Calibri" w:hAnsi="Calibri"/>
                        </w:rPr>
                      </w:pPr>
                      <w:r w:rsidRPr="0075586D">
                        <w:rPr>
                          <w:rFonts w:ascii="Calibri" w:hAnsi="Calibri"/>
                          <w:sz w:val="22"/>
                          <w:szCs w:val="22"/>
                        </w:rPr>
                        <w:t>--a student has been participating in a class all term but pulls a no-show at the final and can’t be located in the hours before grades are due; however, the student has not agreed to an incomplete.  In some cases, students have had car accidents, hospitalizations etc.</w:t>
                      </w:r>
                      <w:r w:rsidR="0075586D">
                        <w:rPr>
                          <w:rFonts w:ascii="Calibri" w:hAnsi="Calibri"/>
                          <w:sz w:val="22"/>
                          <w:szCs w:val="22"/>
                        </w:rPr>
                        <w:t>).</w:t>
                      </w:r>
                      <w:r w:rsidRPr="0075586D">
                        <w:rPr>
                          <w:rFonts w:ascii="Calibri" w:hAnsi="Calibri"/>
                          <w:sz w:val="22"/>
                          <w:szCs w:val="22"/>
                        </w:rPr>
                        <w:t> </w:t>
                      </w:r>
                    </w:p>
                    <w:p w:rsidR="00480080" w:rsidRPr="00A62938" w:rsidRDefault="0075586D" w:rsidP="0048008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6293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NB – As soon as grades are in, reports are run to determine students’ academic progress and if they can register for courses the next term that have prerequisites. </w:t>
                      </w:r>
                      <w:r w:rsidR="00480080" w:rsidRPr="00A62938">
                        <w:rPr>
                          <w:rFonts w:ascii="Calibri" w:hAnsi="Calibri"/>
                          <w:sz w:val="22"/>
                          <w:szCs w:val="22"/>
                        </w:rPr>
                        <w:t>A single blank grade in a roster can</w:t>
                      </w:r>
                      <w:r w:rsidRPr="00A6293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hold up these checks </w:t>
                      </w:r>
                      <w:r w:rsidR="00480080" w:rsidRPr="00A62938">
                        <w:rPr>
                          <w:rFonts w:ascii="Calibri" w:hAnsi="Calibri"/>
                          <w:sz w:val="22"/>
                          <w:szCs w:val="22"/>
                        </w:rPr>
                        <w:t>for all other students</w:t>
                      </w:r>
                      <w:r w:rsidRPr="00A6293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A62938" w:rsidRPr="00A6293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in the class. NR will prevent this delay for all but the NR recipient. </w:t>
                      </w:r>
                      <w:r w:rsidRPr="00A6293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80080" w:rsidRDefault="00480080" w:rsidP="00480080"/>
                    <w:p w:rsidR="00480080" w:rsidRDefault="00480080" w:rsidP="00480080">
                      <w:r>
                        <w:t xml:space="preserve">NR would have to be replaced by a grade or an I within 30 days.  But maybe the policy is 21 days and then there’s a week to chase down the final answer.  </w:t>
                      </w:r>
                    </w:p>
                    <w:p w:rsidR="00D67356" w:rsidRPr="00EE7987" w:rsidRDefault="00D67356" w:rsidP="00D67356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75586D" w:rsidP="00D67356">
      <w:pPr>
        <w:rPr>
          <w:rFonts w:ascii="Arial Narrow" w:hAnsi="Arial Narrow"/>
        </w:rPr>
      </w:pPr>
      <w:r w:rsidRPr="0017630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FC48A" wp14:editId="18C3E87B">
                <wp:simplePos x="0" y="0"/>
                <wp:positionH relativeFrom="column">
                  <wp:posOffset>-533400</wp:posOffset>
                </wp:positionH>
                <wp:positionV relativeFrom="paragraph">
                  <wp:posOffset>222250</wp:posOffset>
                </wp:positionV>
                <wp:extent cx="6400800" cy="5810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356" w:rsidRPr="00176309" w:rsidRDefault="00D67356" w:rsidP="00D67356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E798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II.  </w:t>
                            </w:r>
                            <w:r w:rsidR="00176309" w:rsidRPr="00EE798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Current Policy</w:t>
                            </w:r>
                            <w:r w:rsidR="00176309" w:rsidRPr="00EE798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6309" w:rsidRP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(If proposal is a revision or discontinuance)</w:t>
                            </w:r>
                            <w:r w:rsid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76309" w:rsidRP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It can be attached if too lengthy</w:t>
                            </w:r>
                            <w:r w:rsid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176309" w:rsidRP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I</w:t>
                            </w:r>
                            <w:r w:rsidR="00176309" w:rsidRP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nclud</w:t>
                            </w:r>
                            <w:r w:rsid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</w:t>
                            </w:r>
                            <w:r w:rsidR="00176309" w:rsidRP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date of original adoption if available.  </w:t>
                            </w:r>
                          </w:p>
                          <w:p w:rsidR="00D67356" w:rsidRPr="0075586D" w:rsidRDefault="00480080" w:rsidP="00D6735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5586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None.  Faculty and administrators have had to use I when there’s an unusual circumstance, but those are not true Is as the students were not consulted.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FC48A" id="Text Box 7" o:spid="_x0000_s1027" type="#_x0000_t202" style="position:absolute;margin-left:-42pt;margin-top:17.5pt;width:7in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">
                <v:textbox>
                  <w:txbxContent>
                    <w:p w:rsidR="00D67356" w:rsidRPr="00176309" w:rsidRDefault="00D67356" w:rsidP="00D67356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E798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II.  </w:t>
                      </w:r>
                      <w:r w:rsidR="00176309" w:rsidRPr="00EE798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Current Policy</w:t>
                      </w:r>
                      <w:r w:rsidR="00176309" w:rsidRPr="00EE798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176309" w:rsidRP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>(If proposal is a revision or discontinuance)</w:t>
                      </w:r>
                      <w:r w:rsid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  <w:r w:rsidR="00176309" w:rsidRP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>It can be attached if too lengthy</w:t>
                      </w:r>
                      <w:r w:rsid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176309" w:rsidRP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I</w:t>
                      </w:r>
                      <w:r w:rsidR="00176309" w:rsidRP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>nclud</w:t>
                      </w:r>
                      <w:r w:rsid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>e</w:t>
                      </w:r>
                      <w:r w:rsidR="00176309" w:rsidRP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date of original adoption if available.  </w:t>
                      </w:r>
                    </w:p>
                    <w:p w:rsidR="00D67356" w:rsidRPr="0075586D" w:rsidRDefault="00480080" w:rsidP="00D6735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5586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None.  Faculty and administrators have had to use I when there’s an unusual circumstance, but those are not true Is as the students were not consulted.</w:t>
                      </w:r>
                    </w:p>
                  </w:txbxContent>
                </v:textbox>
              </v:shape>
            </w:pict>
          </mc:Fallback>
        </mc:AlternateContent>
      </w: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A62938" w:rsidP="00D67356">
      <w:pPr>
        <w:rPr>
          <w:rFonts w:ascii="Arial Narrow" w:hAnsi="Arial Narrow"/>
        </w:rPr>
      </w:pPr>
      <w:r w:rsidRPr="0017630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A8463" wp14:editId="44758B4D">
                <wp:simplePos x="0" y="0"/>
                <wp:positionH relativeFrom="column">
                  <wp:posOffset>-533400</wp:posOffset>
                </wp:positionH>
                <wp:positionV relativeFrom="paragraph">
                  <wp:posOffset>200660</wp:posOffset>
                </wp:positionV>
                <wp:extent cx="6398895" cy="904875"/>
                <wp:effectExtent l="0" t="0" r="2095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89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356" w:rsidRPr="00EE7987" w:rsidRDefault="00D67356" w:rsidP="00D67356">
                            <w:pPr>
                              <w:ind w:left="270" w:hanging="27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E798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III. </w:t>
                            </w:r>
                            <w:r w:rsidR="00176309" w:rsidRPr="00EE798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Proposed Policy</w:t>
                            </w:r>
                            <w:r w:rsidR="00176309" w:rsidRPr="00EE798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6309" w:rsidRP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(including authority for policy waiver, exclusions, or sanctions, if any) can be attached if too lengthy.</w:t>
                            </w:r>
                          </w:p>
                          <w:p w:rsidR="00D67356" w:rsidRPr="0075586D" w:rsidRDefault="00480080" w:rsidP="00D6735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558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Activate the NR policy already printed on the back side of the UB transcript.  The catalog will say this means </w:t>
                            </w:r>
                            <w:r w:rsidR="007558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“No grade reported by instructor.</w:t>
                            </w:r>
                            <w:r w:rsidRPr="007558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”  It will only be avai</w:t>
                            </w:r>
                            <w:r w:rsidR="007558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lable to administrators, but faculty can request </w:t>
                            </w:r>
                            <w:r w:rsidRPr="007558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 dean or dean’s d</w:t>
                            </w:r>
                            <w:r w:rsidR="007558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esignee apply it in extraordinary case</w:t>
                            </w:r>
                            <w:r w:rsidRPr="007558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 when a student unexpectedly does not appear at the end of a term and cannot be reached before grades are due.</w:t>
                            </w:r>
                            <w:r w:rsidR="00A6293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NR must be changed to another grade in 30 days.</w:t>
                            </w:r>
                          </w:p>
                          <w:p w:rsidR="00D67356" w:rsidRPr="00A16CA0" w:rsidRDefault="00D67356" w:rsidP="00D673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A8463" id="Text Box 6" o:spid="_x0000_s1028" type="#_x0000_t202" style="position:absolute;margin-left:-42pt;margin-top:15.8pt;width:503.8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6YqLQIAAFc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">
                <v:textbox>
                  <w:txbxContent>
                    <w:p w:rsidR="00D67356" w:rsidRPr="00EE7987" w:rsidRDefault="00D67356" w:rsidP="00D67356">
                      <w:pPr>
                        <w:ind w:left="270" w:hanging="27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E798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III. </w:t>
                      </w:r>
                      <w:r w:rsidR="00176309" w:rsidRPr="00EE798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Proposed Policy</w:t>
                      </w:r>
                      <w:r w:rsidR="00176309" w:rsidRPr="00EE798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176309" w:rsidRP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>(including authority for policy waiver, exclusions, or sanctions, if any) can be attached if too lengthy.</w:t>
                      </w:r>
                    </w:p>
                    <w:p w:rsidR="00D67356" w:rsidRPr="0075586D" w:rsidRDefault="00480080" w:rsidP="00D6735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5586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Activate the NR policy already printed on the back side of the UB transcript.  The catalog will say this means </w:t>
                      </w:r>
                      <w:r w:rsidR="0075586D">
                        <w:rPr>
                          <w:rFonts w:ascii="Calibri" w:hAnsi="Calibri"/>
                          <w:sz w:val="22"/>
                          <w:szCs w:val="22"/>
                        </w:rPr>
                        <w:t>“No grade reported by instructor.</w:t>
                      </w:r>
                      <w:r w:rsidRPr="0075586D">
                        <w:rPr>
                          <w:rFonts w:ascii="Calibri" w:hAnsi="Calibri"/>
                          <w:sz w:val="22"/>
                          <w:szCs w:val="22"/>
                        </w:rPr>
                        <w:t>”  It will only be avai</w:t>
                      </w:r>
                      <w:r w:rsidR="0075586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lable to administrators, but faculty can request </w:t>
                      </w:r>
                      <w:r w:rsidRPr="0075586D">
                        <w:rPr>
                          <w:rFonts w:ascii="Calibri" w:hAnsi="Calibri"/>
                          <w:sz w:val="22"/>
                          <w:szCs w:val="22"/>
                        </w:rPr>
                        <w:t>a dean or dean’s d</w:t>
                      </w:r>
                      <w:r w:rsidR="0075586D">
                        <w:rPr>
                          <w:rFonts w:ascii="Calibri" w:hAnsi="Calibri"/>
                          <w:sz w:val="22"/>
                          <w:szCs w:val="22"/>
                        </w:rPr>
                        <w:t>esignee apply it in extraordinary case</w:t>
                      </w:r>
                      <w:r w:rsidRPr="0075586D">
                        <w:rPr>
                          <w:rFonts w:ascii="Calibri" w:hAnsi="Calibri"/>
                          <w:sz w:val="22"/>
                          <w:szCs w:val="22"/>
                        </w:rPr>
                        <w:t>s when a student unexpectedly does not appear at the end of a term and cannot be reached before grades are due.</w:t>
                      </w:r>
                      <w:r w:rsidR="00A6293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NR must be changed to another grade in 30 days.</w:t>
                      </w:r>
                    </w:p>
                    <w:p w:rsidR="00D67356" w:rsidRPr="00A16CA0" w:rsidRDefault="00D67356" w:rsidP="00D67356"/>
                  </w:txbxContent>
                </v:textbox>
              </v:shape>
            </w:pict>
          </mc:Fallback>
        </mc:AlternateContent>
      </w: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D67356" w:rsidP="00D67356">
      <w:pPr>
        <w:rPr>
          <w:rFonts w:ascii="Arial Narrow" w:hAnsi="Arial Narrow"/>
        </w:rPr>
      </w:pPr>
      <w:bookmarkStart w:id="0" w:name="_GoBack"/>
      <w:bookmarkEnd w:id="0"/>
    </w:p>
    <w:p w:rsidR="00D67356" w:rsidRPr="00176309" w:rsidRDefault="00D67356" w:rsidP="00D67356">
      <w:pPr>
        <w:rPr>
          <w:rFonts w:ascii="Arial Narrow" w:hAnsi="Arial Narrow"/>
        </w:rPr>
      </w:pPr>
    </w:p>
    <w:p w:rsidR="00BD42E6" w:rsidRPr="00176309" w:rsidRDefault="00BD42E6" w:rsidP="00BD42E6">
      <w:pPr>
        <w:rPr>
          <w:rFonts w:ascii="Arial Narrow" w:hAnsi="Arial Narrow"/>
        </w:rPr>
      </w:pPr>
    </w:p>
    <w:p w:rsidR="00D67356" w:rsidRPr="00176309" w:rsidRDefault="00A62938" w:rsidP="00BD42E6">
      <w:pPr>
        <w:rPr>
          <w:rFonts w:ascii="Arial Narrow" w:hAnsi="Arial Narrow"/>
        </w:rPr>
      </w:pPr>
      <w:r w:rsidRPr="0017630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DF1CC" wp14:editId="50E1FD5E">
                <wp:simplePos x="0" y="0"/>
                <wp:positionH relativeFrom="column">
                  <wp:posOffset>-542925</wp:posOffset>
                </wp:positionH>
                <wp:positionV relativeFrom="paragraph">
                  <wp:posOffset>233045</wp:posOffset>
                </wp:positionV>
                <wp:extent cx="6413500" cy="438150"/>
                <wp:effectExtent l="0" t="0" r="2540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356" w:rsidRPr="00480080" w:rsidRDefault="00D67356" w:rsidP="00D67356">
                            <w:pPr>
                              <w:ind w:left="360" w:hanging="36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E798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IV. Other</w:t>
                            </w:r>
                            <w:r w:rsidRPr="00EE798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(who was consulted, definition of terms, etc.)</w:t>
                            </w:r>
                            <w:r w:rsidR="0048008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75586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Registrar, associate deans, enrollment reporting – There </w:t>
                            </w:r>
                            <w:r w:rsidR="00A6293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is one issue: NR cannot automatically convert to another grade. Grade change forms must be used and submitted in 30 days.</w:t>
                            </w:r>
                          </w:p>
                          <w:p w:rsidR="00D67356" w:rsidRDefault="00D67356" w:rsidP="00D67356">
                            <w:pPr>
                              <w:ind w:left="360" w:hanging="36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D67356" w:rsidRPr="00EE7987" w:rsidRDefault="00D67356" w:rsidP="00D67356">
                            <w:pPr>
                              <w:ind w:left="360" w:hanging="36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DF1CC" id="Text Box 5" o:spid="_x0000_s1029" type="#_x0000_t202" style="position:absolute;margin-left:-42.75pt;margin-top:18.35pt;width:50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">
                <v:textbox>
                  <w:txbxContent>
                    <w:p w:rsidR="00D67356" w:rsidRPr="00480080" w:rsidRDefault="00D67356" w:rsidP="00D67356">
                      <w:pPr>
                        <w:ind w:left="360" w:hanging="36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E798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IV. Other</w:t>
                      </w:r>
                      <w:r w:rsidRPr="00EE798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>(who was consulted, definition of terms, etc.)</w:t>
                      </w:r>
                      <w:r w:rsidR="00480080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</w:t>
                      </w:r>
                      <w:r w:rsidR="0075586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Registrar, associate deans, enrollment reporting – There </w:t>
                      </w:r>
                      <w:r w:rsidR="00A62938">
                        <w:rPr>
                          <w:rFonts w:ascii="Arial Narrow" w:hAnsi="Arial Narrow"/>
                          <w:sz w:val="20"/>
                          <w:szCs w:val="20"/>
                        </w:rPr>
                        <w:t>is one issue: NR cannot automatically convert to another grade. Grade change forms must be used and submitted in 30 days.</w:t>
                      </w:r>
                    </w:p>
                    <w:p w:rsidR="00D67356" w:rsidRDefault="00D67356" w:rsidP="00D67356">
                      <w:pPr>
                        <w:ind w:left="360" w:hanging="36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D67356" w:rsidRPr="00EE7987" w:rsidRDefault="00D67356" w:rsidP="00D67356">
                      <w:pPr>
                        <w:ind w:left="360" w:hanging="36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356" w:rsidRPr="00176309" w:rsidRDefault="00D67356" w:rsidP="00BD42E6">
      <w:pPr>
        <w:rPr>
          <w:rFonts w:ascii="Arial Narrow" w:hAnsi="Arial Narrow"/>
        </w:rPr>
      </w:pPr>
    </w:p>
    <w:p w:rsidR="00D67356" w:rsidRPr="00176309" w:rsidRDefault="00D67356" w:rsidP="00BD42E6">
      <w:pPr>
        <w:rPr>
          <w:rFonts w:ascii="Arial Narrow" w:hAnsi="Arial Narrow"/>
        </w:rPr>
      </w:pPr>
    </w:p>
    <w:p w:rsidR="00D67356" w:rsidRPr="00176309" w:rsidRDefault="00D67356" w:rsidP="00BD42E6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080" w:type="dxa"/>
        <w:tblInd w:w="-702" w:type="dxa"/>
        <w:tblLook w:val="01E0" w:firstRow="1" w:lastRow="1" w:firstColumn="1" w:lastColumn="1" w:noHBand="0" w:noVBand="0"/>
      </w:tblPr>
      <w:tblGrid>
        <w:gridCol w:w="3085"/>
        <w:gridCol w:w="5383"/>
        <w:gridCol w:w="1612"/>
      </w:tblGrid>
      <w:tr w:rsidR="00BD42E6" w:rsidRPr="00176309" w:rsidTr="00BB2616">
        <w:trPr>
          <w:trHeight w:val="467"/>
        </w:trPr>
        <w:tc>
          <w:tcPr>
            <w:tcW w:w="8468" w:type="dxa"/>
            <w:gridSpan w:val="2"/>
            <w:vAlign w:val="center"/>
          </w:tcPr>
          <w:p w:rsidR="00BD42E6" w:rsidRPr="00176309" w:rsidRDefault="00AC01FE" w:rsidP="00AC01FE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76309">
              <w:rPr>
                <w:rFonts w:ascii="Arial Narrow" w:hAnsi="Arial Narrow"/>
                <w:b/>
                <w:color w:val="000000"/>
                <w:sz w:val="20"/>
                <w:szCs w:val="20"/>
              </w:rPr>
              <w:t>V.  Approval Signatures</w:t>
            </w:r>
          </w:p>
        </w:tc>
        <w:tc>
          <w:tcPr>
            <w:tcW w:w="1612" w:type="dxa"/>
            <w:vAlign w:val="center"/>
          </w:tcPr>
          <w:p w:rsidR="00BD42E6" w:rsidRPr="00176309" w:rsidRDefault="00AC01FE" w:rsidP="00BD42E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76309">
              <w:rPr>
                <w:rFonts w:ascii="Arial Narrow" w:hAnsi="Arial Narrow"/>
                <w:b/>
                <w:color w:val="000000"/>
                <w:sz w:val="20"/>
                <w:szCs w:val="20"/>
              </w:rPr>
              <w:t>Date</w:t>
            </w:r>
          </w:p>
        </w:tc>
      </w:tr>
      <w:tr w:rsidR="00BD42E6" w:rsidRPr="00176309" w:rsidTr="00176309">
        <w:trPr>
          <w:trHeight w:val="1799"/>
        </w:trPr>
        <w:tc>
          <w:tcPr>
            <w:tcW w:w="3085" w:type="dxa"/>
          </w:tcPr>
          <w:p w:rsidR="00176309" w:rsidRDefault="00176309" w:rsidP="0017630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656FC5" w:rsidRPr="00176309" w:rsidRDefault="00BB2616" w:rsidP="0017630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A</w:t>
            </w:r>
            <w:r w:rsidR="00BD42E6" w:rsidRPr="00176309">
              <w:rPr>
                <w:rFonts w:ascii="Arial Narrow" w:hAnsi="Arial Narrow"/>
                <w:color w:val="000000"/>
                <w:sz w:val="18"/>
                <w:szCs w:val="18"/>
              </w:rPr>
              <w:t>.  College/School Dean(s)</w:t>
            </w:r>
          </w:p>
          <w:p w:rsidR="00BD42E6" w:rsidRDefault="007F36E0" w:rsidP="0017630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:rsidR="005533E4" w:rsidRPr="00176309" w:rsidRDefault="005533E4" w:rsidP="0017630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383" w:type="dxa"/>
            <w:vAlign w:val="center"/>
          </w:tcPr>
          <w:p w:rsidR="00702D4E" w:rsidRPr="00176309" w:rsidRDefault="00702D4E" w:rsidP="00BD42E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D42E6" w:rsidRPr="00176309" w:rsidRDefault="007F36E0" w:rsidP="00BD42E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CAS</w:t>
            </w:r>
            <w:r w:rsidR="00BD42E6" w:rsidRPr="00176309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  <w:r w:rsidR="00702D4E" w:rsidRPr="00176309">
              <w:rPr>
                <w:rFonts w:ascii="Arial Narrow" w:hAnsi="Arial Narrow"/>
                <w:color w:val="000000"/>
                <w:sz w:val="18"/>
                <w:szCs w:val="18"/>
              </w:rPr>
              <w:t xml:space="preserve">  _________________________________________________________</w:t>
            </w:r>
          </w:p>
          <w:p w:rsidR="00BD42E6" w:rsidRPr="00176309" w:rsidRDefault="00BD42E6" w:rsidP="00BD42E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D42E6" w:rsidRPr="00176309" w:rsidRDefault="007F36E0" w:rsidP="00BD42E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CPA</w:t>
            </w:r>
            <w:r w:rsidR="00BD42E6" w:rsidRPr="00176309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  <w:r w:rsidR="00702D4E" w:rsidRPr="00176309">
              <w:rPr>
                <w:rFonts w:ascii="Arial Narrow" w:hAnsi="Arial Narrow"/>
                <w:color w:val="000000"/>
                <w:sz w:val="18"/>
                <w:szCs w:val="18"/>
              </w:rPr>
              <w:t xml:space="preserve">  </w:t>
            </w:r>
            <w:r w:rsidR="00BD42E6" w:rsidRPr="00176309">
              <w:rPr>
                <w:rFonts w:ascii="Arial Narrow" w:hAnsi="Arial Narrow"/>
                <w:color w:val="000000"/>
                <w:sz w:val="18"/>
                <w:szCs w:val="18"/>
              </w:rPr>
              <w:t>_________________________________________________________</w:t>
            </w:r>
          </w:p>
          <w:p w:rsidR="00702D4E" w:rsidRPr="00176309" w:rsidRDefault="00702D4E" w:rsidP="00BD42E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D42E6" w:rsidRPr="00176309" w:rsidRDefault="007F36E0" w:rsidP="00BD42E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LAW</w:t>
            </w:r>
            <w:r w:rsidR="00BD42E6" w:rsidRPr="00176309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  <w:r w:rsidR="00702D4E" w:rsidRPr="00176309">
              <w:rPr>
                <w:rFonts w:ascii="Arial Narrow" w:hAnsi="Arial Narrow"/>
                <w:color w:val="000000"/>
                <w:sz w:val="18"/>
                <w:szCs w:val="18"/>
              </w:rPr>
              <w:t xml:space="preserve">  _</w:t>
            </w:r>
            <w:r w:rsidR="00BD42E6" w:rsidRPr="00176309">
              <w:rPr>
                <w:rFonts w:ascii="Arial Narrow" w:hAnsi="Arial Narrow"/>
                <w:color w:val="000000"/>
                <w:sz w:val="18"/>
                <w:szCs w:val="18"/>
              </w:rPr>
              <w:t>________________________________________________________</w:t>
            </w:r>
          </w:p>
          <w:p w:rsidR="00702D4E" w:rsidRPr="00176309" w:rsidRDefault="00702D4E" w:rsidP="00BD42E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D42E6" w:rsidRPr="00176309" w:rsidRDefault="007F36E0" w:rsidP="00BD42E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MSB</w:t>
            </w:r>
            <w:r w:rsidR="00BD42E6" w:rsidRPr="00176309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  <w:r w:rsidR="00702D4E" w:rsidRPr="00176309">
              <w:rPr>
                <w:rFonts w:ascii="Arial Narrow" w:hAnsi="Arial Narrow"/>
                <w:color w:val="000000"/>
                <w:sz w:val="18"/>
                <w:szCs w:val="18"/>
              </w:rPr>
              <w:t xml:space="preserve">  _________________________________________________________</w:t>
            </w:r>
          </w:p>
          <w:p w:rsidR="00BD42E6" w:rsidRPr="00176309" w:rsidRDefault="00BD42E6" w:rsidP="00BD42E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</w:tcPr>
          <w:p w:rsidR="00BD42E6" w:rsidRPr="00176309" w:rsidRDefault="00BD42E6" w:rsidP="00BD42E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702D4E" w:rsidRPr="00176309" w:rsidRDefault="00702D4E" w:rsidP="00BD42E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_________________</w:t>
            </w:r>
          </w:p>
          <w:p w:rsidR="00702D4E" w:rsidRPr="00176309" w:rsidRDefault="00702D4E" w:rsidP="00BD42E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702D4E" w:rsidRPr="00176309" w:rsidRDefault="00702D4E" w:rsidP="00BD42E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_________________</w:t>
            </w:r>
          </w:p>
          <w:p w:rsidR="00702D4E" w:rsidRPr="00176309" w:rsidRDefault="00702D4E" w:rsidP="00BD42E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702D4E" w:rsidRPr="00176309" w:rsidRDefault="00702D4E" w:rsidP="00BD42E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_________________</w:t>
            </w:r>
          </w:p>
          <w:p w:rsidR="00702D4E" w:rsidRPr="00176309" w:rsidRDefault="00702D4E" w:rsidP="00BD42E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702D4E" w:rsidRPr="00176309" w:rsidRDefault="00702D4E" w:rsidP="00BD42E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_________________</w:t>
            </w:r>
          </w:p>
        </w:tc>
      </w:tr>
      <w:tr w:rsidR="00BD42E6" w:rsidRPr="00176309" w:rsidTr="00BB2616">
        <w:trPr>
          <w:trHeight w:val="584"/>
        </w:trPr>
        <w:tc>
          <w:tcPr>
            <w:tcW w:w="3085" w:type="dxa"/>
            <w:vAlign w:val="center"/>
          </w:tcPr>
          <w:p w:rsidR="00BD42E6" w:rsidRPr="00176309" w:rsidRDefault="00BB2616" w:rsidP="00BD42E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B</w:t>
            </w:r>
            <w:r w:rsidR="00BD42E6" w:rsidRPr="00176309">
              <w:rPr>
                <w:rFonts w:ascii="Arial Narrow" w:hAnsi="Arial Narrow"/>
                <w:color w:val="000000"/>
                <w:sz w:val="18"/>
                <w:szCs w:val="18"/>
              </w:rPr>
              <w:t xml:space="preserve">.  Academic Policy Review Committee </w:t>
            </w:r>
          </w:p>
          <w:p w:rsidR="00BD42E6" w:rsidRPr="00176309" w:rsidRDefault="00BD42E6" w:rsidP="007F36E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(UFS subcommittee)</w:t>
            </w:r>
            <w:r w:rsidR="007F36E0" w:rsidRPr="0017630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83" w:type="dxa"/>
            <w:vAlign w:val="center"/>
          </w:tcPr>
          <w:p w:rsidR="007F36E0" w:rsidRPr="00176309" w:rsidRDefault="007F36E0" w:rsidP="00BD42E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D42E6" w:rsidRPr="00176309" w:rsidRDefault="007F36E0" w:rsidP="00BD42E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Chair:</w:t>
            </w:r>
          </w:p>
          <w:p w:rsidR="007F36E0" w:rsidRPr="00176309" w:rsidRDefault="007F36E0" w:rsidP="007F36E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</w:tcPr>
          <w:p w:rsidR="00BD42E6" w:rsidRPr="00176309" w:rsidRDefault="00BD42E6" w:rsidP="00BD42E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F36E0" w:rsidRPr="00176309" w:rsidTr="00BB2616">
        <w:trPr>
          <w:trHeight w:val="467"/>
        </w:trPr>
        <w:tc>
          <w:tcPr>
            <w:tcW w:w="3085" w:type="dxa"/>
            <w:vAlign w:val="center"/>
          </w:tcPr>
          <w:p w:rsidR="007F36E0" w:rsidRPr="00176309" w:rsidRDefault="00BB2616" w:rsidP="00BD42E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C</w:t>
            </w:r>
            <w:r w:rsidR="007F36E0" w:rsidRPr="00176309">
              <w:rPr>
                <w:rFonts w:ascii="Arial Narrow" w:hAnsi="Arial Narrow"/>
                <w:color w:val="000000"/>
                <w:sz w:val="18"/>
                <w:szCs w:val="18"/>
              </w:rPr>
              <w:t>.  University Faculty Senate</w:t>
            </w:r>
          </w:p>
        </w:tc>
        <w:tc>
          <w:tcPr>
            <w:tcW w:w="5383" w:type="dxa"/>
            <w:vAlign w:val="center"/>
          </w:tcPr>
          <w:p w:rsidR="007F36E0" w:rsidRPr="00176309" w:rsidRDefault="007F36E0" w:rsidP="00BD42E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Chair:</w:t>
            </w:r>
          </w:p>
        </w:tc>
        <w:tc>
          <w:tcPr>
            <w:tcW w:w="1612" w:type="dxa"/>
          </w:tcPr>
          <w:p w:rsidR="007F36E0" w:rsidRPr="00176309" w:rsidRDefault="007F36E0" w:rsidP="00BD42E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D42E6" w:rsidRPr="00176309" w:rsidTr="00BB2616">
        <w:trPr>
          <w:trHeight w:val="584"/>
        </w:trPr>
        <w:tc>
          <w:tcPr>
            <w:tcW w:w="3085" w:type="dxa"/>
            <w:vAlign w:val="center"/>
          </w:tcPr>
          <w:p w:rsidR="00BD42E6" w:rsidRPr="00176309" w:rsidRDefault="00BB2616" w:rsidP="00BD42E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D</w:t>
            </w:r>
            <w:r w:rsidR="00BD42E6" w:rsidRPr="00176309">
              <w:rPr>
                <w:rFonts w:ascii="Arial Narrow" w:hAnsi="Arial Narrow"/>
                <w:color w:val="000000"/>
                <w:sz w:val="18"/>
                <w:szCs w:val="18"/>
              </w:rPr>
              <w:t>.  Provost and Senior Vice President</w:t>
            </w:r>
          </w:p>
          <w:p w:rsidR="00BD42E6" w:rsidRPr="00176309" w:rsidRDefault="00BD42E6" w:rsidP="00BD42E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for Academic Affairs</w:t>
            </w:r>
            <w:r w:rsidR="007F36E0" w:rsidRPr="00176309">
              <w:rPr>
                <w:rFonts w:ascii="Arial Narrow" w:hAnsi="Arial Narrow"/>
                <w:color w:val="000000"/>
                <w:sz w:val="18"/>
                <w:szCs w:val="18"/>
              </w:rPr>
              <w:t xml:space="preserve"> (or designee)</w:t>
            </w:r>
          </w:p>
        </w:tc>
        <w:tc>
          <w:tcPr>
            <w:tcW w:w="5383" w:type="dxa"/>
            <w:vAlign w:val="center"/>
          </w:tcPr>
          <w:p w:rsidR="00BD42E6" w:rsidRPr="00176309" w:rsidRDefault="00BD42E6" w:rsidP="00BD42E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</w:tcPr>
          <w:p w:rsidR="00BD42E6" w:rsidRPr="00176309" w:rsidRDefault="00BD42E6" w:rsidP="00BD42E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51F0C" w:rsidRPr="00176309" w:rsidTr="00BB2616">
        <w:trPr>
          <w:trHeight w:val="395"/>
        </w:trPr>
        <w:tc>
          <w:tcPr>
            <w:tcW w:w="3085" w:type="dxa"/>
            <w:vAlign w:val="center"/>
          </w:tcPr>
          <w:p w:rsidR="00C51F0C" w:rsidRPr="00176309" w:rsidRDefault="00C51F0C" w:rsidP="00C51F0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E.  AG’s Office (as required)</w:t>
            </w:r>
          </w:p>
        </w:tc>
        <w:tc>
          <w:tcPr>
            <w:tcW w:w="5383" w:type="dxa"/>
            <w:vAlign w:val="center"/>
          </w:tcPr>
          <w:p w:rsidR="00C51F0C" w:rsidRPr="00176309" w:rsidRDefault="00BB2616" w:rsidP="00AC01FE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 xml:space="preserve">Signature not required.  If AG review is necessary, the date of approval </w:t>
            </w:r>
            <w:r w:rsidR="00AC01FE" w:rsidRPr="00176309">
              <w:rPr>
                <w:rFonts w:ascii="Arial Narrow" w:hAnsi="Arial Narrow"/>
                <w:color w:val="000000"/>
                <w:sz w:val="18"/>
                <w:szCs w:val="18"/>
              </w:rPr>
              <w:t>will be</w:t>
            </w: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 xml:space="preserve"> added by the Policy Coordinator.</w:t>
            </w:r>
          </w:p>
        </w:tc>
        <w:tc>
          <w:tcPr>
            <w:tcW w:w="1612" w:type="dxa"/>
          </w:tcPr>
          <w:p w:rsidR="00C51F0C" w:rsidRPr="00176309" w:rsidRDefault="00C51F0C" w:rsidP="00BD42E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D42E6" w:rsidRPr="00176309" w:rsidTr="00BB2616">
        <w:trPr>
          <w:trHeight w:val="432"/>
        </w:trPr>
        <w:tc>
          <w:tcPr>
            <w:tcW w:w="3085" w:type="dxa"/>
            <w:vAlign w:val="center"/>
          </w:tcPr>
          <w:p w:rsidR="00BD42E6" w:rsidRPr="00176309" w:rsidRDefault="00C51F0C" w:rsidP="00C51F0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F</w:t>
            </w:r>
            <w:r w:rsidR="00BD42E6" w:rsidRPr="00176309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 xml:space="preserve">  </w:t>
            </w:r>
            <w:r w:rsidR="00BD42E6" w:rsidRPr="00176309">
              <w:rPr>
                <w:rFonts w:ascii="Arial Narrow" w:hAnsi="Arial Narrow"/>
                <w:color w:val="000000"/>
                <w:sz w:val="18"/>
                <w:szCs w:val="18"/>
              </w:rPr>
              <w:t>President</w:t>
            </w: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 xml:space="preserve"> (as required)</w:t>
            </w:r>
          </w:p>
        </w:tc>
        <w:tc>
          <w:tcPr>
            <w:tcW w:w="5383" w:type="dxa"/>
            <w:vAlign w:val="center"/>
          </w:tcPr>
          <w:p w:rsidR="00BD42E6" w:rsidRPr="00176309" w:rsidRDefault="00BD42E6" w:rsidP="00BD42E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</w:tcPr>
          <w:p w:rsidR="00BD42E6" w:rsidRPr="00176309" w:rsidRDefault="00BD42E6" w:rsidP="00BD42E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D42E6" w:rsidRPr="00176309" w:rsidTr="00BB2616">
        <w:trPr>
          <w:trHeight w:val="359"/>
        </w:trPr>
        <w:tc>
          <w:tcPr>
            <w:tcW w:w="3085" w:type="dxa"/>
            <w:vAlign w:val="center"/>
          </w:tcPr>
          <w:p w:rsidR="00BD42E6" w:rsidRPr="00176309" w:rsidRDefault="00C51F0C" w:rsidP="00C51F0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G</w:t>
            </w:r>
            <w:r w:rsidR="00BD42E6" w:rsidRPr="00176309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 xml:space="preserve">  </w:t>
            </w:r>
            <w:r w:rsidR="00BD42E6" w:rsidRPr="00176309">
              <w:rPr>
                <w:rFonts w:ascii="Arial Narrow" w:hAnsi="Arial Narrow"/>
                <w:color w:val="000000"/>
                <w:sz w:val="18"/>
                <w:szCs w:val="18"/>
              </w:rPr>
              <w:t>Board of Regents</w:t>
            </w: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 xml:space="preserve"> (as required)</w:t>
            </w:r>
          </w:p>
        </w:tc>
        <w:tc>
          <w:tcPr>
            <w:tcW w:w="5383" w:type="dxa"/>
            <w:vAlign w:val="center"/>
          </w:tcPr>
          <w:p w:rsidR="00BD42E6" w:rsidRPr="00176309" w:rsidRDefault="00AC01FE" w:rsidP="00AC01FE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Signature not required.  If BOR</w:t>
            </w:r>
            <w:r w:rsidR="00BB2616" w:rsidRPr="00176309">
              <w:rPr>
                <w:rFonts w:ascii="Arial Narrow" w:hAnsi="Arial Narrow"/>
                <w:color w:val="000000"/>
                <w:sz w:val="18"/>
                <w:szCs w:val="18"/>
              </w:rPr>
              <w:t xml:space="preserve"> review is necessary, the date of approval</w:t>
            </w: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 xml:space="preserve"> will</w:t>
            </w:r>
            <w:r w:rsidR="00BB2616" w:rsidRPr="00176309">
              <w:rPr>
                <w:rFonts w:ascii="Arial Narrow" w:hAnsi="Arial Narrow"/>
                <w:color w:val="000000"/>
                <w:sz w:val="18"/>
                <w:szCs w:val="18"/>
              </w:rPr>
              <w:t xml:space="preserve"> be added by the Policy Coordinator.</w:t>
            </w:r>
          </w:p>
        </w:tc>
        <w:tc>
          <w:tcPr>
            <w:tcW w:w="1612" w:type="dxa"/>
          </w:tcPr>
          <w:p w:rsidR="00BD42E6" w:rsidRPr="00176309" w:rsidRDefault="00BD42E6" w:rsidP="00BD42E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BD42E6" w:rsidRPr="00176309" w:rsidRDefault="00BD42E6" w:rsidP="00702D4E">
      <w:pPr>
        <w:rPr>
          <w:rFonts w:ascii="Arial Narrow" w:hAnsi="Arial Narrow"/>
        </w:rPr>
      </w:pPr>
    </w:p>
    <w:sectPr w:rsidR="00BD42E6" w:rsidRPr="00176309" w:rsidSect="00075B76">
      <w:pgSz w:w="12240" w:h="15840"/>
      <w:pgMar w:top="27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67F" w:rsidRDefault="0062067F" w:rsidP="00702D4E">
      <w:r>
        <w:separator/>
      </w:r>
    </w:p>
  </w:endnote>
  <w:endnote w:type="continuationSeparator" w:id="0">
    <w:p w:rsidR="0062067F" w:rsidRDefault="0062067F" w:rsidP="0070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67F" w:rsidRDefault="0062067F" w:rsidP="00702D4E">
      <w:r>
        <w:separator/>
      </w:r>
    </w:p>
  </w:footnote>
  <w:footnote w:type="continuationSeparator" w:id="0">
    <w:p w:rsidR="0062067F" w:rsidRDefault="0062067F" w:rsidP="00702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BB"/>
    <w:rsid w:val="0003308B"/>
    <w:rsid w:val="00053E6B"/>
    <w:rsid w:val="00065B20"/>
    <w:rsid w:val="00075B76"/>
    <w:rsid w:val="00087F59"/>
    <w:rsid w:val="000F49EB"/>
    <w:rsid w:val="00100B32"/>
    <w:rsid w:val="00112CD8"/>
    <w:rsid w:val="00126297"/>
    <w:rsid w:val="00176309"/>
    <w:rsid w:val="001F6B16"/>
    <w:rsid w:val="00222602"/>
    <w:rsid w:val="002235FF"/>
    <w:rsid w:val="00277EB5"/>
    <w:rsid w:val="002E62DB"/>
    <w:rsid w:val="0032682B"/>
    <w:rsid w:val="00367205"/>
    <w:rsid w:val="003C0882"/>
    <w:rsid w:val="00430425"/>
    <w:rsid w:val="00465100"/>
    <w:rsid w:val="00480080"/>
    <w:rsid w:val="00496588"/>
    <w:rsid w:val="004B205E"/>
    <w:rsid w:val="005071FC"/>
    <w:rsid w:val="00523B30"/>
    <w:rsid w:val="005533E4"/>
    <w:rsid w:val="00595726"/>
    <w:rsid w:val="00616A9D"/>
    <w:rsid w:val="0062067F"/>
    <w:rsid w:val="00656FC5"/>
    <w:rsid w:val="00702D4E"/>
    <w:rsid w:val="0075586D"/>
    <w:rsid w:val="007D7086"/>
    <w:rsid w:val="007F36E0"/>
    <w:rsid w:val="008B09AD"/>
    <w:rsid w:val="008D7618"/>
    <w:rsid w:val="00902FFF"/>
    <w:rsid w:val="00951477"/>
    <w:rsid w:val="00974C87"/>
    <w:rsid w:val="00A16CA0"/>
    <w:rsid w:val="00A3649F"/>
    <w:rsid w:val="00A62938"/>
    <w:rsid w:val="00AA6C43"/>
    <w:rsid w:val="00AC01FE"/>
    <w:rsid w:val="00AE0EE5"/>
    <w:rsid w:val="00B71BCA"/>
    <w:rsid w:val="00B73D5D"/>
    <w:rsid w:val="00BA1089"/>
    <w:rsid w:val="00BB2616"/>
    <w:rsid w:val="00BD42E6"/>
    <w:rsid w:val="00C51F0C"/>
    <w:rsid w:val="00D57D66"/>
    <w:rsid w:val="00D67356"/>
    <w:rsid w:val="00DA0702"/>
    <w:rsid w:val="00DC1EB5"/>
    <w:rsid w:val="00E21F8A"/>
    <w:rsid w:val="00E27628"/>
    <w:rsid w:val="00E458EB"/>
    <w:rsid w:val="00E504B1"/>
    <w:rsid w:val="00E655D9"/>
    <w:rsid w:val="00E812BA"/>
    <w:rsid w:val="00F314BD"/>
    <w:rsid w:val="00F610BB"/>
    <w:rsid w:val="00FD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A5F61E-4552-488F-A61C-32FBD64C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B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5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02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2D4E"/>
    <w:rPr>
      <w:sz w:val="24"/>
      <w:szCs w:val="24"/>
    </w:rPr>
  </w:style>
  <w:style w:type="paragraph" w:styleId="Footer">
    <w:name w:val="footer"/>
    <w:basedOn w:val="Normal"/>
    <w:link w:val="FooterChar"/>
    <w:rsid w:val="00702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2D4E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00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POLICY PROPOSAL SUMMARY</vt:lpstr>
    </vt:vector>
  </TitlesOfParts>
  <Company>University of Baltimore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POLICY PROPOSAL SUMMARY</dc:title>
  <dc:creator>settings</dc:creator>
  <cp:lastModifiedBy>Candace Caraco</cp:lastModifiedBy>
  <cp:revision>2</cp:revision>
  <cp:lastPrinted>2006-10-10T14:25:00Z</cp:lastPrinted>
  <dcterms:created xsi:type="dcterms:W3CDTF">2018-08-24T16:07:00Z</dcterms:created>
  <dcterms:modified xsi:type="dcterms:W3CDTF">2018-08-24T16:07:00Z</dcterms:modified>
</cp:coreProperties>
</file>