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14" w:rsidRPr="00326F0A" w:rsidRDefault="00326F0A" w:rsidP="00326F0A">
      <w:pPr>
        <w:jc w:val="center"/>
        <w:rPr>
          <w:b/>
        </w:rPr>
      </w:pPr>
      <w:r w:rsidRPr="00326F0A">
        <w:rPr>
          <w:b/>
        </w:rPr>
        <w:t>University of Baltimore Foundation</w:t>
      </w:r>
      <w:r w:rsidRPr="00326F0A">
        <w:rPr>
          <w:b/>
        </w:rPr>
        <w:br/>
        <w:t>Fund for Excellence Approved Proposals Summary, FY 2016</w:t>
      </w:r>
    </w:p>
    <w:tbl>
      <w:tblPr>
        <w:tblStyle w:val="TableGrid"/>
        <w:tblpPr w:leftFromText="180" w:rightFromText="180" w:vertAnchor="page" w:horzAnchor="margin" w:tblpXSpec="center" w:tblpY="2545"/>
        <w:tblW w:w="1126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468"/>
        <w:gridCol w:w="2880"/>
        <w:gridCol w:w="1710"/>
        <w:gridCol w:w="1620"/>
        <w:gridCol w:w="4590"/>
      </w:tblGrid>
      <w:tr w:rsidR="00326F0A" w:rsidTr="0055542D">
        <w:trPr>
          <w:trHeight w:val="504"/>
        </w:trPr>
        <w:tc>
          <w:tcPr>
            <w:tcW w:w="468" w:type="dxa"/>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t>#</w:t>
            </w:r>
          </w:p>
        </w:tc>
        <w:tc>
          <w:tcPr>
            <w:tcW w:w="2880" w:type="dxa"/>
            <w:shd w:val="clear" w:color="auto" w:fill="auto"/>
            <w:vAlign w:val="center"/>
          </w:tcPr>
          <w:p w:rsidR="00326F0A" w:rsidRPr="00727377" w:rsidRDefault="00326F0A" w:rsidP="0055542D">
            <w:pPr>
              <w:spacing w:line="300" w:lineRule="auto"/>
              <w:rPr>
                <w:rFonts w:ascii="Cambria" w:hAnsi="Cambria"/>
                <w:b/>
                <w:color w:val="1F497D"/>
              </w:rPr>
            </w:pPr>
            <w:bookmarkStart w:id="0" w:name="_MailOriginal"/>
            <w:r w:rsidRPr="00727377">
              <w:rPr>
                <w:rFonts w:ascii="Cambria" w:hAnsi="Cambria"/>
                <w:b/>
                <w:color w:val="1F497D"/>
              </w:rPr>
              <w:t>Proposal</w:t>
            </w:r>
          </w:p>
        </w:tc>
        <w:tc>
          <w:tcPr>
            <w:tcW w:w="1710" w:type="dxa"/>
            <w:shd w:val="clear" w:color="auto" w:fill="auto"/>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UB Department</w:t>
            </w:r>
          </w:p>
        </w:tc>
        <w:tc>
          <w:tcPr>
            <w:tcW w:w="1620" w:type="dxa"/>
            <w:shd w:val="clear" w:color="auto" w:fill="auto"/>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t>Amount</w:t>
            </w:r>
          </w:p>
        </w:tc>
        <w:tc>
          <w:tcPr>
            <w:tcW w:w="4590" w:type="dxa"/>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Description/Notes</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226932">
              <w:rPr>
                <w:rFonts w:asciiTheme="majorHAnsi" w:hAnsiTheme="majorHAnsi"/>
                <w:color w:val="1F497D"/>
              </w:rPr>
              <w:t>Environmental Education &amp; Sustainable Food Program</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sidRPr="00EA45FE">
              <w:rPr>
                <w:rFonts w:asciiTheme="majorHAnsi" w:hAnsiTheme="majorHAnsi"/>
                <w:color w:val="1F497D"/>
              </w:rPr>
              <w:t>$</w:t>
            </w:r>
            <w:r>
              <w:rPr>
                <w:rFonts w:asciiTheme="majorHAnsi" w:hAnsiTheme="majorHAnsi"/>
                <w:color w:val="1F497D"/>
              </w:rPr>
              <w:t>14,200</w:t>
            </w:r>
          </w:p>
        </w:tc>
        <w:tc>
          <w:tcPr>
            <w:tcW w:w="4590" w:type="dxa"/>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 xml:space="preserve">Program will engage UB students and faculty in alleviating Baltimore’s food deserts through both paid internships for an Environmental Education program and a feasibility study for a food hub. </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2</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226932">
              <w:rPr>
                <w:rFonts w:asciiTheme="majorHAnsi" w:hAnsiTheme="majorHAnsi"/>
                <w:color w:val="1F497D"/>
              </w:rPr>
              <w:t>Be the Change Event Series with Baltimore Community Leaders</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$4,575</w:t>
            </w: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Events will welcome leaders to share information regarding the most important challenges faced by their communities and brainstorm ways in which UB can be an active participant in solutions to these challenges.</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3</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27159E">
              <w:rPr>
                <w:rFonts w:asciiTheme="majorHAnsi" w:hAnsiTheme="majorHAnsi"/>
                <w:color w:val="1F497D"/>
              </w:rPr>
              <w:t>Predictive Analytics and Knowledge Discovery from Data</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$22,988</w:t>
            </w: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Covers cost of developing 4 courses that will comprise a post-baccalaureate certificate in Predictive Analytics and Knowledge Discovery from Data.</w:t>
            </w:r>
          </w:p>
        </w:tc>
      </w:tr>
      <w:tr w:rsidR="00326F0A" w:rsidTr="0055542D">
        <w:trPr>
          <w:trHeight w:val="1985"/>
        </w:trPr>
        <w:tc>
          <w:tcPr>
            <w:tcW w:w="468" w:type="dxa"/>
            <w:vAlign w:val="center"/>
          </w:tcPr>
          <w:p w:rsidR="00326F0A" w:rsidRPr="001E0F12" w:rsidRDefault="00326F0A" w:rsidP="0055542D">
            <w:pPr>
              <w:spacing w:line="300" w:lineRule="auto"/>
              <w:rPr>
                <w:rFonts w:asciiTheme="majorHAnsi" w:hAnsiTheme="majorHAnsi"/>
                <w:color w:val="1F497D"/>
              </w:rPr>
            </w:pPr>
            <w:r>
              <w:rPr>
                <w:rFonts w:asciiTheme="majorHAnsi" w:hAnsiTheme="majorHAnsi"/>
                <w:color w:val="1F497D"/>
              </w:rPr>
              <w:t>4</w:t>
            </w:r>
          </w:p>
        </w:tc>
        <w:tc>
          <w:tcPr>
            <w:tcW w:w="2880" w:type="dxa"/>
            <w:shd w:val="clear" w:color="auto" w:fill="auto"/>
            <w:vAlign w:val="center"/>
          </w:tcPr>
          <w:p w:rsidR="00326F0A" w:rsidRPr="00FF70E2" w:rsidRDefault="00326F0A" w:rsidP="0055542D">
            <w:pPr>
              <w:spacing w:line="300" w:lineRule="auto"/>
              <w:rPr>
                <w:rFonts w:asciiTheme="majorHAnsi" w:hAnsiTheme="majorHAnsi"/>
                <w:color w:val="1F497D"/>
              </w:rPr>
            </w:pPr>
            <w:r>
              <w:rPr>
                <w:rFonts w:asciiTheme="majorHAnsi" w:hAnsiTheme="majorHAnsi"/>
                <w:color w:val="1F497D"/>
              </w:rPr>
              <w:t>Helping Others 2 Win</w:t>
            </w:r>
          </w:p>
        </w:tc>
        <w:tc>
          <w:tcPr>
            <w:tcW w:w="1710" w:type="dxa"/>
            <w:shd w:val="clear" w:color="auto" w:fill="auto"/>
            <w:vAlign w:val="center"/>
          </w:tcPr>
          <w:p w:rsidR="00326F0A" w:rsidRPr="00FF70E2" w:rsidRDefault="00326F0A"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326F0A" w:rsidRPr="00FF70E2" w:rsidRDefault="00326F0A" w:rsidP="0055542D">
            <w:pPr>
              <w:spacing w:line="300" w:lineRule="auto"/>
              <w:jc w:val="center"/>
              <w:rPr>
                <w:rFonts w:asciiTheme="majorHAnsi" w:hAnsiTheme="majorHAnsi"/>
                <w:color w:val="1F497D"/>
              </w:rPr>
            </w:pPr>
            <w:r>
              <w:rPr>
                <w:rFonts w:asciiTheme="majorHAnsi" w:hAnsiTheme="majorHAnsi"/>
                <w:color w:val="1F497D"/>
              </w:rPr>
              <w:t>$24,212</w:t>
            </w:r>
          </w:p>
        </w:tc>
        <w:tc>
          <w:tcPr>
            <w:tcW w:w="4590" w:type="dxa"/>
            <w:vAlign w:val="center"/>
          </w:tcPr>
          <w:p w:rsidR="00326F0A" w:rsidRPr="00CB2E90" w:rsidRDefault="00326F0A" w:rsidP="0055542D">
            <w:pPr>
              <w:spacing w:line="300" w:lineRule="auto"/>
              <w:rPr>
                <w:rFonts w:asciiTheme="majorHAnsi" w:hAnsiTheme="majorHAnsi"/>
                <w:color w:val="1F497D"/>
              </w:rPr>
            </w:pPr>
            <w:r w:rsidRPr="00CB2E90">
              <w:rPr>
                <w:rFonts w:asciiTheme="majorHAnsi" w:hAnsiTheme="majorHAnsi"/>
                <w:color w:val="44546A" w:themeColor="text2"/>
              </w:rPr>
              <w:t xml:space="preserve">Award would be used to hire the Schaefer Center to evaluate the Helping Others 2 Win program, an experiential learning program intended to improve the outcomes of women reentering society after prison. </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5</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3D Visualization, Prototyping and Printing Lab</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$12,250</w:t>
            </w: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Enables the Klein Family School of Communication Design to offer 3D training that is necessary for a fast-growing technology field.</w:t>
            </w:r>
          </w:p>
        </w:tc>
      </w:tr>
      <w:tr w:rsidR="00326F0A" w:rsidTr="0055542D">
        <w:trPr>
          <w:trHeight w:val="504"/>
        </w:trPr>
        <w:tc>
          <w:tcPr>
            <w:tcW w:w="468" w:type="dxa"/>
            <w:vAlign w:val="center"/>
          </w:tcPr>
          <w:p w:rsidR="00326F0A" w:rsidRPr="008774DE" w:rsidRDefault="00326F0A" w:rsidP="0055542D">
            <w:pPr>
              <w:spacing w:line="300" w:lineRule="auto"/>
              <w:rPr>
                <w:rFonts w:asciiTheme="majorHAnsi" w:hAnsiTheme="majorHAnsi"/>
                <w:color w:val="1F497D"/>
              </w:rPr>
            </w:pPr>
            <w:r>
              <w:rPr>
                <w:rFonts w:asciiTheme="majorHAnsi" w:hAnsiTheme="majorHAnsi"/>
                <w:color w:val="1F497D"/>
              </w:rPr>
              <w:t>6</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Virtualization of Immersion and Presence in a CAVE Simulation as Performative Space</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$4,855</w:t>
            </w:r>
          </w:p>
          <w:p w:rsidR="00326F0A" w:rsidRPr="00EA45FE" w:rsidRDefault="00326F0A" w:rsidP="0055542D">
            <w:pPr>
              <w:spacing w:line="300" w:lineRule="auto"/>
              <w:jc w:val="center"/>
              <w:rPr>
                <w:rFonts w:asciiTheme="majorHAnsi" w:hAnsiTheme="majorHAnsi"/>
                <w:color w:val="1F497D"/>
              </w:rPr>
            </w:pP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Will investigate new ways to interact in a virtual space.</w:t>
            </w:r>
          </w:p>
        </w:tc>
      </w:tr>
      <w:tr w:rsidR="00326F0A" w:rsidTr="0055542D">
        <w:trPr>
          <w:trHeight w:val="1292"/>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7</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UB Game Lab – Center for Interdisciplinary Research in Games and Media</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$20,556</w:t>
            </w:r>
          </w:p>
        </w:tc>
        <w:tc>
          <w:tcPr>
            <w:tcW w:w="4590" w:type="dxa"/>
            <w:vAlign w:val="center"/>
          </w:tcPr>
          <w:p w:rsidR="00326F0A" w:rsidRPr="004F04EE" w:rsidRDefault="00326F0A" w:rsidP="0055542D">
            <w:pPr>
              <w:autoSpaceDE w:val="0"/>
              <w:autoSpaceDN w:val="0"/>
              <w:adjustRightInd w:val="0"/>
              <w:rPr>
                <w:rFonts w:asciiTheme="majorHAnsi" w:hAnsiTheme="majorHAnsi" w:cs="Arial Narrow"/>
              </w:rPr>
            </w:pPr>
            <w:r w:rsidRPr="005809AB">
              <w:rPr>
                <w:rFonts w:asciiTheme="majorHAnsi" w:hAnsiTheme="majorHAnsi" w:cs="Arial Narrow"/>
                <w:color w:val="44546A" w:themeColor="text2"/>
              </w:rPr>
              <w:t>Will be a creative hub for applied research and experiential learning for students in the Simulation and Digital Entertainment curriculum.</w:t>
            </w:r>
          </w:p>
        </w:tc>
      </w:tr>
      <w:tr w:rsidR="00326F0A" w:rsidTr="0055542D">
        <w:trPr>
          <w:trHeight w:val="968"/>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8</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Launching Student Entrepreneurship Support</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MSB</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$8,830</w:t>
            </w:r>
          </w:p>
        </w:tc>
        <w:tc>
          <w:tcPr>
            <w:tcW w:w="4590" w:type="dxa"/>
            <w:vAlign w:val="center"/>
          </w:tcPr>
          <w:p w:rsidR="00326F0A" w:rsidRPr="004F04EE" w:rsidRDefault="00326F0A" w:rsidP="0055542D">
            <w:pPr>
              <w:autoSpaceDE w:val="0"/>
              <w:autoSpaceDN w:val="0"/>
              <w:adjustRightInd w:val="0"/>
              <w:rPr>
                <w:rFonts w:asciiTheme="majorHAnsi" w:hAnsiTheme="majorHAnsi" w:cs="Times New Roman"/>
                <w:color w:val="44546A" w:themeColor="text2"/>
              </w:rPr>
            </w:pPr>
            <w:r>
              <w:rPr>
                <w:rFonts w:asciiTheme="majorHAnsi" w:hAnsiTheme="majorHAnsi" w:cs="Times New Roman"/>
                <w:color w:val="44546A" w:themeColor="text2"/>
              </w:rPr>
              <w:t>Will integrate the current Entrepreneurial survey course with Center for Entrepreneurship and Innovation activities.</w:t>
            </w:r>
          </w:p>
        </w:tc>
      </w:tr>
      <w:bookmarkEnd w:id="0"/>
      <w:tr w:rsidR="00326F0A" w:rsidTr="0055542D">
        <w:trPr>
          <w:trHeight w:val="504"/>
        </w:trPr>
        <w:tc>
          <w:tcPr>
            <w:tcW w:w="468" w:type="dxa"/>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lastRenderedPageBreak/>
              <w:t>#</w:t>
            </w:r>
          </w:p>
        </w:tc>
        <w:tc>
          <w:tcPr>
            <w:tcW w:w="2880" w:type="dxa"/>
            <w:shd w:val="clear" w:color="auto" w:fill="auto"/>
            <w:vAlign w:val="center"/>
          </w:tcPr>
          <w:p w:rsidR="00326F0A" w:rsidRPr="00727377" w:rsidRDefault="00326F0A" w:rsidP="0055542D">
            <w:pPr>
              <w:spacing w:line="300" w:lineRule="auto"/>
              <w:rPr>
                <w:rFonts w:ascii="Cambria" w:hAnsi="Cambria"/>
                <w:b/>
                <w:color w:val="1F497D"/>
              </w:rPr>
            </w:pPr>
            <w:r w:rsidRPr="00727377">
              <w:rPr>
                <w:rFonts w:ascii="Cambria" w:hAnsi="Cambria"/>
                <w:b/>
                <w:color w:val="1F497D"/>
              </w:rPr>
              <w:t>Proposal</w:t>
            </w:r>
          </w:p>
        </w:tc>
        <w:tc>
          <w:tcPr>
            <w:tcW w:w="1710" w:type="dxa"/>
            <w:shd w:val="clear" w:color="auto" w:fill="auto"/>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UB Department</w:t>
            </w:r>
          </w:p>
        </w:tc>
        <w:tc>
          <w:tcPr>
            <w:tcW w:w="1620" w:type="dxa"/>
            <w:shd w:val="clear" w:color="auto" w:fill="auto"/>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t>Amount</w:t>
            </w:r>
          </w:p>
        </w:tc>
        <w:tc>
          <w:tcPr>
            <w:tcW w:w="4590" w:type="dxa"/>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Description/Notes</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9</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Adapting the Cyber Discovery Camp Model for Baltimore City Schools</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MSB</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sidRPr="00EA45FE">
              <w:rPr>
                <w:rFonts w:asciiTheme="majorHAnsi" w:hAnsiTheme="majorHAnsi"/>
                <w:color w:val="1F497D"/>
              </w:rPr>
              <w:t>$</w:t>
            </w:r>
            <w:r>
              <w:rPr>
                <w:rFonts w:asciiTheme="majorHAnsi" w:hAnsiTheme="majorHAnsi"/>
                <w:color w:val="1F497D"/>
              </w:rPr>
              <w:t>6,600</w:t>
            </w:r>
          </w:p>
        </w:tc>
        <w:tc>
          <w:tcPr>
            <w:tcW w:w="4590" w:type="dxa"/>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Will adapt an existing weeklong camp into a one-day event aimed at students in inner-city schools whose educational opportunities are the most limited.</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10</w:t>
            </w:r>
          </w:p>
        </w:tc>
        <w:tc>
          <w:tcPr>
            <w:tcW w:w="2880" w:type="dxa"/>
            <w:shd w:val="clear" w:color="auto" w:fill="auto"/>
            <w:vAlign w:val="center"/>
          </w:tcPr>
          <w:p w:rsidR="00326F0A" w:rsidRDefault="00326F0A" w:rsidP="0055542D">
            <w:pPr>
              <w:spacing w:line="300" w:lineRule="auto"/>
              <w:rPr>
                <w:rFonts w:asciiTheme="majorHAnsi" w:hAnsiTheme="majorHAnsi"/>
                <w:color w:val="1F497D"/>
              </w:rPr>
            </w:pPr>
            <w:r w:rsidRPr="00CB2E90">
              <w:rPr>
                <w:rFonts w:asciiTheme="majorHAnsi" w:hAnsiTheme="majorHAnsi"/>
                <w:color w:val="1F497D"/>
              </w:rPr>
              <w:t>City-as-classroom Learning Text</w:t>
            </w:r>
          </w:p>
        </w:tc>
        <w:tc>
          <w:tcPr>
            <w:tcW w:w="1710" w:type="dxa"/>
            <w:shd w:val="clear" w:color="auto" w:fill="auto"/>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Law</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$3,981</w:t>
            </w:r>
          </w:p>
        </w:tc>
        <w:tc>
          <w:tcPr>
            <w:tcW w:w="4590" w:type="dxa"/>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Funding will be used for the publication of an existing learning text for both students in UB’s School of Law Community Development clinic and the general public.</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11</w:t>
            </w:r>
          </w:p>
        </w:tc>
        <w:tc>
          <w:tcPr>
            <w:tcW w:w="2880" w:type="dxa"/>
            <w:shd w:val="clear" w:color="auto" w:fill="auto"/>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I</w:t>
            </w:r>
            <w:r w:rsidRPr="00CB2E90">
              <w:rPr>
                <w:rFonts w:asciiTheme="majorHAnsi" w:hAnsiTheme="majorHAnsi"/>
                <w:color w:val="1F497D"/>
              </w:rPr>
              <w:t>nterdisciplinary Innovations in Family Dispute Resolution</w:t>
            </w:r>
          </w:p>
        </w:tc>
        <w:tc>
          <w:tcPr>
            <w:tcW w:w="1710" w:type="dxa"/>
            <w:shd w:val="clear" w:color="auto" w:fill="auto"/>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Law</w:t>
            </w:r>
          </w:p>
        </w:tc>
        <w:tc>
          <w:tcPr>
            <w:tcW w:w="1620" w:type="dxa"/>
            <w:shd w:val="clear" w:color="auto" w:fill="auto"/>
            <w:vAlign w:val="center"/>
          </w:tcPr>
          <w:p w:rsidR="00326F0A" w:rsidRDefault="00326F0A" w:rsidP="0055542D">
            <w:pPr>
              <w:spacing w:line="300" w:lineRule="auto"/>
              <w:jc w:val="center"/>
              <w:rPr>
                <w:rFonts w:asciiTheme="majorHAnsi" w:hAnsiTheme="majorHAnsi"/>
                <w:color w:val="1F497D"/>
              </w:rPr>
            </w:pPr>
            <w:r>
              <w:rPr>
                <w:rFonts w:asciiTheme="majorHAnsi" w:hAnsiTheme="majorHAnsi"/>
                <w:color w:val="1F497D"/>
              </w:rPr>
              <w:t>$4,000</w:t>
            </w: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Funding will cover costs for a conference hosted jointly by faculty at UB’s School of Law and University of Maryland’s Carey School of Law to develop innovative approaches to family conflict resolution.</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12</w:t>
            </w:r>
          </w:p>
        </w:tc>
        <w:tc>
          <w:tcPr>
            <w:tcW w:w="2880" w:type="dxa"/>
            <w:shd w:val="clear" w:color="auto" w:fill="auto"/>
            <w:vAlign w:val="center"/>
          </w:tcPr>
          <w:p w:rsidR="00326F0A" w:rsidRDefault="00326F0A" w:rsidP="0055542D">
            <w:pPr>
              <w:spacing w:line="300" w:lineRule="auto"/>
              <w:rPr>
                <w:rFonts w:asciiTheme="majorHAnsi" w:hAnsiTheme="majorHAnsi"/>
                <w:color w:val="1F497D"/>
              </w:rPr>
            </w:pPr>
            <w:r w:rsidRPr="00CB2E90">
              <w:rPr>
                <w:rFonts w:asciiTheme="majorHAnsi" w:hAnsiTheme="majorHAnsi"/>
                <w:color w:val="1F497D"/>
              </w:rPr>
              <w:t>National Conference on Innovative Legal Scholarship</w:t>
            </w:r>
          </w:p>
        </w:tc>
        <w:tc>
          <w:tcPr>
            <w:tcW w:w="1710" w:type="dxa"/>
            <w:shd w:val="clear" w:color="auto" w:fill="auto"/>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Law</w:t>
            </w:r>
          </w:p>
        </w:tc>
        <w:tc>
          <w:tcPr>
            <w:tcW w:w="1620" w:type="dxa"/>
            <w:shd w:val="clear" w:color="auto" w:fill="auto"/>
            <w:vAlign w:val="center"/>
          </w:tcPr>
          <w:p w:rsidR="00326F0A" w:rsidRDefault="00326F0A" w:rsidP="0055542D">
            <w:pPr>
              <w:spacing w:line="300" w:lineRule="auto"/>
              <w:jc w:val="center"/>
              <w:rPr>
                <w:rFonts w:asciiTheme="majorHAnsi" w:hAnsiTheme="majorHAnsi"/>
                <w:color w:val="1F497D"/>
              </w:rPr>
            </w:pPr>
            <w:r>
              <w:rPr>
                <w:rFonts w:asciiTheme="majorHAnsi" w:hAnsiTheme="majorHAnsi"/>
                <w:color w:val="1F497D"/>
              </w:rPr>
              <w:t>$25,000</w:t>
            </w:r>
          </w:p>
        </w:tc>
        <w:tc>
          <w:tcPr>
            <w:tcW w:w="4590"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Conference will be held in spring 2016.</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13</w:t>
            </w:r>
          </w:p>
        </w:tc>
        <w:tc>
          <w:tcPr>
            <w:tcW w:w="2880" w:type="dxa"/>
            <w:shd w:val="clear" w:color="auto" w:fill="auto"/>
            <w:vAlign w:val="center"/>
          </w:tcPr>
          <w:p w:rsidR="00326F0A" w:rsidRDefault="00326F0A" w:rsidP="0055542D">
            <w:pPr>
              <w:spacing w:line="300" w:lineRule="auto"/>
              <w:rPr>
                <w:rFonts w:asciiTheme="majorHAnsi" w:hAnsiTheme="majorHAnsi"/>
                <w:color w:val="1F497D"/>
              </w:rPr>
            </w:pPr>
            <w:r w:rsidRPr="00CB2E90">
              <w:rPr>
                <w:rFonts w:asciiTheme="majorHAnsi" w:hAnsiTheme="majorHAnsi"/>
                <w:color w:val="1F497D"/>
              </w:rPr>
              <w:t>Development of a Certificate in Family Law</w:t>
            </w:r>
          </w:p>
        </w:tc>
        <w:tc>
          <w:tcPr>
            <w:tcW w:w="1710" w:type="dxa"/>
            <w:shd w:val="clear" w:color="auto" w:fill="auto"/>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Law</w:t>
            </w:r>
          </w:p>
        </w:tc>
        <w:tc>
          <w:tcPr>
            <w:tcW w:w="1620" w:type="dxa"/>
            <w:shd w:val="clear" w:color="auto" w:fill="auto"/>
            <w:vAlign w:val="center"/>
          </w:tcPr>
          <w:p w:rsidR="00326F0A" w:rsidRDefault="00326F0A" w:rsidP="0055542D">
            <w:pPr>
              <w:spacing w:line="300" w:lineRule="auto"/>
              <w:jc w:val="center"/>
              <w:rPr>
                <w:rFonts w:asciiTheme="majorHAnsi" w:hAnsiTheme="majorHAnsi"/>
                <w:color w:val="1F497D"/>
              </w:rPr>
            </w:pPr>
            <w:r>
              <w:rPr>
                <w:rFonts w:asciiTheme="majorHAnsi" w:hAnsiTheme="majorHAnsi"/>
                <w:color w:val="1F497D"/>
              </w:rPr>
              <w:t>$14,900</w:t>
            </w:r>
          </w:p>
        </w:tc>
        <w:tc>
          <w:tcPr>
            <w:tcW w:w="4590" w:type="dxa"/>
            <w:vAlign w:val="center"/>
          </w:tcPr>
          <w:p w:rsidR="00326F0A" w:rsidRPr="002F6EAF" w:rsidRDefault="00326F0A" w:rsidP="0055542D">
            <w:pPr>
              <w:spacing w:line="300" w:lineRule="auto"/>
              <w:rPr>
                <w:rFonts w:asciiTheme="majorHAnsi" w:hAnsiTheme="majorHAnsi"/>
                <w:color w:val="1F497D"/>
              </w:rPr>
            </w:pPr>
            <w:r w:rsidRPr="002F6EAF">
              <w:rPr>
                <w:rFonts w:asciiTheme="majorHAnsi" w:hAnsiTheme="majorHAnsi"/>
                <w:color w:val="44546A" w:themeColor="text2"/>
              </w:rPr>
              <w:t>The FFE had supported the initial feasibility study for the Family Law certificate and will continue to fund the program’s development.</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14</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Legal Writing Center</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 xml:space="preserve">Law </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sidRPr="00EA45FE">
              <w:rPr>
                <w:rFonts w:asciiTheme="majorHAnsi" w:hAnsiTheme="majorHAnsi"/>
                <w:color w:val="1F497D"/>
              </w:rPr>
              <w:t>$</w:t>
            </w:r>
            <w:r>
              <w:rPr>
                <w:rFonts w:asciiTheme="majorHAnsi" w:hAnsiTheme="majorHAnsi"/>
                <w:color w:val="1F497D"/>
              </w:rPr>
              <w:t>7,150</w:t>
            </w:r>
          </w:p>
        </w:tc>
        <w:tc>
          <w:tcPr>
            <w:tcW w:w="4590" w:type="dxa"/>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Will provide law students with one-on-one writing consultations, workshops on relevant topics in legal writing, and other writing resources.</w:t>
            </w:r>
          </w:p>
        </w:tc>
      </w:tr>
      <w:tr w:rsidR="00326F0A" w:rsidTr="0055542D">
        <w:trPr>
          <w:trHeight w:val="1493"/>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15</w:t>
            </w:r>
          </w:p>
        </w:tc>
        <w:tc>
          <w:tcPr>
            <w:tcW w:w="2880" w:type="dxa"/>
            <w:shd w:val="clear" w:color="auto" w:fill="auto"/>
            <w:vAlign w:val="center"/>
          </w:tcPr>
          <w:p w:rsidR="00326F0A" w:rsidRPr="00EA45FE" w:rsidRDefault="00326F0A" w:rsidP="0055542D">
            <w:pPr>
              <w:spacing w:line="300" w:lineRule="auto"/>
              <w:rPr>
                <w:rFonts w:asciiTheme="majorHAnsi" w:hAnsiTheme="majorHAnsi"/>
                <w:color w:val="1F497D"/>
              </w:rPr>
            </w:pPr>
            <w:r w:rsidRPr="00CB2E90">
              <w:rPr>
                <w:rFonts w:asciiTheme="majorHAnsi" w:hAnsiTheme="majorHAnsi"/>
                <w:color w:val="1F497D"/>
              </w:rPr>
              <w:t>Closed-Captioning Technologies</w:t>
            </w:r>
          </w:p>
        </w:tc>
        <w:tc>
          <w:tcPr>
            <w:tcW w:w="1710" w:type="dxa"/>
            <w:shd w:val="clear" w:color="auto" w:fill="auto"/>
            <w:vAlign w:val="center"/>
          </w:tcPr>
          <w:p w:rsidR="00326F0A" w:rsidRPr="00EA45FE" w:rsidRDefault="00326F0A" w:rsidP="0055542D">
            <w:pPr>
              <w:spacing w:line="300" w:lineRule="auto"/>
              <w:rPr>
                <w:rFonts w:asciiTheme="majorHAnsi" w:hAnsiTheme="majorHAnsi"/>
                <w:color w:val="1F497D"/>
              </w:rPr>
            </w:pPr>
            <w:r>
              <w:rPr>
                <w:rFonts w:asciiTheme="majorHAnsi" w:hAnsiTheme="majorHAnsi"/>
                <w:color w:val="1F497D"/>
              </w:rPr>
              <w:t>OTS</w:t>
            </w:r>
          </w:p>
        </w:tc>
        <w:tc>
          <w:tcPr>
            <w:tcW w:w="1620" w:type="dxa"/>
            <w:shd w:val="clear" w:color="auto" w:fill="auto"/>
            <w:vAlign w:val="center"/>
          </w:tcPr>
          <w:p w:rsidR="00326F0A" w:rsidRPr="00EA45FE" w:rsidRDefault="00326F0A" w:rsidP="0055542D">
            <w:pPr>
              <w:spacing w:line="300" w:lineRule="auto"/>
              <w:jc w:val="center"/>
              <w:rPr>
                <w:rFonts w:asciiTheme="majorHAnsi" w:hAnsiTheme="majorHAnsi"/>
                <w:color w:val="1F497D"/>
              </w:rPr>
            </w:pPr>
            <w:r>
              <w:rPr>
                <w:rFonts w:asciiTheme="majorHAnsi" w:hAnsiTheme="majorHAnsi"/>
                <w:color w:val="1F497D"/>
              </w:rPr>
              <w:t>$16,000</w:t>
            </w:r>
          </w:p>
        </w:tc>
        <w:tc>
          <w:tcPr>
            <w:tcW w:w="4590" w:type="dxa"/>
            <w:vAlign w:val="center"/>
          </w:tcPr>
          <w:p w:rsidR="00326F0A" w:rsidRPr="00AD5B28"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This project will determine a set per-minute cost to adding closed captioning to existing video used by UB faculty and libraries and will add closed captioning capability to the OTS Media and Classroom Support Unit.</w:t>
            </w:r>
          </w:p>
        </w:tc>
      </w:tr>
      <w:tr w:rsidR="00326F0A" w:rsidTr="0055542D">
        <w:trPr>
          <w:trHeight w:val="1493"/>
        </w:trPr>
        <w:tc>
          <w:tcPr>
            <w:tcW w:w="468" w:type="dxa"/>
            <w:vAlign w:val="center"/>
          </w:tcPr>
          <w:p w:rsidR="00326F0A" w:rsidRPr="00916849" w:rsidRDefault="00326F0A" w:rsidP="0055542D">
            <w:pPr>
              <w:spacing w:line="300" w:lineRule="auto"/>
              <w:rPr>
                <w:rFonts w:asciiTheme="majorHAnsi" w:hAnsiTheme="majorHAnsi"/>
                <w:color w:val="1F497D"/>
              </w:rPr>
            </w:pPr>
            <w:r w:rsidRPr="00916849">
              <w:rPr>
                <w:rFonts w:asciiTheme="majorHAnsi" w:hAnsiTheme="majorHAnsi"/>
                <w:color w:val="1F497D"/>
              </w:rPr>
              <w:t>16</w:t>
            </w:r>
          </w:p>
        </w:tc>
        <w:tc>
          <w:tcPr>
            <w:tcW w:w="2880" w:type="dxa"/>
            <w:shd w:val="clear" w:color="auto" w:fill="auto"/>
            <w:vAlign w:val="center"/>
          </w:tcPr>
          <w:p w:rsidR="00326F0A" w:rsidRPr="00916849" w:rsidRDefault="00326F0A" w:rsidP="0055542D">
            <w:pPr>
              <w:spacing w:line="300" w:lineRule="auto"/>
              <w:rPr>
                <w:rFonts w:asciiTheme="majorHAnsi" w:hAnsiTheme="majorHAnsi"/>
                <w:color w:val="44546A" w:themeColor="text2"/>
              </w:rPr>
            </w:pPr>
            <w:proofErr w:type="spellStart"/>
            <w:r w:rsidRPr="00916849">
              <w:rPr>
                <w:rFonts w:asciiTheme="majorHAnsi" w:hAnsiTheme="majorHAnsi" w:cs="Cambria"/>
                <w:color w:val="44546A" w:themeColor="text2"/>
              </w:rPr>
              <w:t>Armagh</w:t>
            </w:r>
            <w:proofErr w:type="spellEnd"/>
            <w:r w:rsidRPr="00916849">
              <w:rPr>
                <w:rFonts w:asciiTheme="majorHAnsi" w:hAnsiTheme="majorHAnsi" w:cs="Cambria"/>
                <w:color w:val="44546A" w:themeColor="text2"/>
              </w:rPr>
              <w:t xml:space="preserve"> Project 2016</w:t>
            </w:r>
          </w:p>
        </w:tc>
        <w:tc>
          <w:tcPr>
            <w:tcW w:w="1710" w:type="dxa"/>
            <w:shd w:val="clear" w:color="auto" w:fill="auto"/>
            <w:vAlign w:val="center"/>
          </w:tcPr>
          <w:p w:rsidR="00326F0A" w:rsidRPr="00916849"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916849" w:rsidRDefault="00326F0A" w:rsidP="0055542D">
            <w:pPr>
              <w:spacing w:line="300" w:lineRule="auto"/>
              <w:jc w:val="center"/>
              <w:rPr>
                <w:rFonts w:asciiTheme="majorHAnsi" w:hAnsiTheme="majorHAnsi"/>
                <w:color w:val="1F497D"/>
              </w:rPr>
            </w:pPr>
            <w:r>
              <w:rPr>
                <w:rFonts w:asciiTheme="majorHAnsi" w:hAnsiTheme="majorHAnsi"/>
                <w:color w:val="1F497D"/>
              </w:rPr>
              <w:t>$10,000</w:t>
            </w:r>
          </w:p>
        </w:tc>
        <w:tc>
          <w:tcPr>
            <w:tcW w:w="4590" w:type="dxa"/>
            <w:vAlign w:val="center"/>
          </w:tcPr>
          <w:p w:rsidR="00326F0A" w:rsidRPr="00916849" w:rsidRDefault="00326F0A" w:rsidP="0055542D">
            <w:pPr>
              <w:autoSpaceDE w:val="0"/>
              <w:autoSpaceDN w:val="0"/>
              <w:adjustRightInd w:val="0"/>
              <w:rPr>
                <w:rFonts w:asciiTheme="majorHAnsi" w:hAnsiTheme="majorHAnsi" w:cs="Calibri"/>
                <w:color w:val="44546A" w:themeColor="text2"/>
              </w:rPr>
            </w:pPr>
            <w:proofErr w:type="spellStart"/>
            <w:r>
              <w:rPr>
                <w:rFonts w:asciiTheme="majorHAnsi" w:hAnsiTheme="majorHAnsi"/>
                <w:color w:val="1F497D"/>
              </w:rPr>
              <w:t>Armagh</w:t>
            </w:r>
            <w:proofErr w:type="spellEnd"/>
            <w:r>
              <w:rPr>
                <w:rFonts w:asciiTheme="majorHAnsi" w:hAnsiTheme="majorHAnsi"/>
                <w:color w:val="1F497D"/>
              </w:rPr>
              <w:t xml:space="preserve"> is a month-long playwriting residency in Northern Ireland.  The Fund for Excellence previously awarded funding towards this project.</w:t>
            </w:r>
          </w:p>
        </w:tc>
      </w:tr>
      <w:tr w:rsidR="00326F0A" w:rsidTr="0055542D">
        <w:trPr>
          <w:trHeight w:val="1493"/>
        </w:trPr>
        <w:tc>
          <w:tcPr>
            <w:tcW w:w="468" w:type="dxa"/>
            <w:vAlign w:val="center"/>
          </w:tcPr>
          <w:p w:rsidR="00326F0A" w:rsidRPr="00916849" w:rsidRDefault="00326F0A" w:rsidP="0055542D">
            <w:pPr>
              <w:spacing w:line="300" w:lineRule="auto"/>
              <w:rPr>
                <w:rFonts w:asciiTheme="majorHAnsi" w:hAnsiTheme="majorHAnsi"/>
                <w:color w:val="1F497D"/>
              </w:rPr>
            </w:pPr>
            <w:r w:rsidRPr="00916849">
              <w:rPr>
                <w:rFonts w:asciiTheme="majorHAnsi" w:hAnsiTheme="majorHAnsi"/>
                <w:color w:val="1F497D"/>
              </w:rPr>
              <w:t>17</w:t>
            </w:r>
          </w:p>
        </w:tc>
        <w:tc>
          <w:tcPr>
            <w:tcW w:w="2880" w:type="dxa"/>
            <w:shd w:val="clear" w:color="auto" w:fill="auto"/>
            <w:vAlign w:val="center"/>
          </w:tcPr>
          <w:p w:rsidR="00326F0A" w:rsidRPr="00916849" w:rsidRDefault="00326F0A" w:rsidP="0055542D">
            <w:pPr>
              <w:spacing w:line="300" w:lineRule="auto"/>
              <w:rPr>
                <w:rFonts w:asciiTheme="majorHAnsi" w:hAnsiTheme="majorHAnsi" w:cs="Cambria"/>
                <w:color w:val="44546A" w:themeColor="text2"/>
              </w:rPr>
            </w:pPr>
            <w:r w:rsidRPr="00916849">
              <w:rPr>
                <w:rFonts w:asciiTheme="majorHAnsi" w:hAnsiTheme="majorHAnsi" w:cs="Cambria"/>
                <w:color w:val="44546A" w:themeColor="text2"/>
              </w:rPr>
              <w:t>Study Abroad Program in Cuba</w:t>
            </w:r>
          </w:p>
        </w:tc>
        <w:tc>
          <w:tcPr>
            <w:tcW w:w="1710" w:type="dxa"/>
            <w:shd w:val="clear" w:color="auto" w:fill="auto"/>
            <w:vAlign w:val="center"/>
          </w:tcPr>
          <w:p w:rsidR="00326F0A" w:rsidRPr="00916849"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916849" w:rsidRDefault="00326F0A" w:rsidP="0055542D">
            <w:pPr>
              <w:spacing w:line="300" w:lineRule="auto"/>
              <w:jc w:val="center"/>
              <w:rPr>
                <w:rFonts w:asciiTheme="majorHAnsi" w:hAnsiTheme="majorHAnsi"/>
                <w:color w:val="1F497D"/>
              </w:rPr>
            </w:pPr>
            <w:r>
              <w:rPr>
                <w:rFonts w:asciiTheme="majorHAnsi" w:hAnsiTheme="majorHAnsi"/>
                <w:color w:val="1F497D"/>
              </w:rPr>
              <w:t>$25,000</w:t>
            </w:r>
          </w:p>
        </w:tc>
        <w:tc>
          <w:tcPr>
            <w:tcW w:w="4590" w:type="dxa"/>
            <w:vAlign w:val="center"/>
          </w:tcPr>
          <w:p w:rsidR="00326F0A" w:rsidRPr="00916849"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The program will support 8-10 students to engage in experiential learning activities in arts and cultural centers for 2 and a half weeks in Havana and Matanzas.</w:t>
            </w:r>
          </w:p>
        </w:tc>
      </w:tr>
      <w:tr w:rsidR="00326F0A" w:rsidTr="0055542D">
        <w:trPr>
          <w:trHeight w:val="980"/>
        </w:trPr>
        <w:tc>
          <w:tcPr>
            <w:tcW w:w="468" w:type="dxa"/>
            <w:vAlign w:val="center"/>
          </w:tcPr>
          <w:p w:rsidR="00326F0A" w:rsidRPr="009E7F03" w:rsidRDefault="00326F0A" w:rsidP="0055542D">
            <w:pPr>
              <w:spacing w:line="300" w:lineRule="auto"/>
              <w:rPr>
                <w:rFonts w:asciiTheme="majorHAnsi" w:hAnsiTheme="majorHAnsi"/>
                <w:b/>
                <w:color w:val="1F497D"/>
              </w:rPr>
            </w:pPr>
            <w:r w:rsidRPr="009E7F03">
              <w:rPr>
                <w:rFonts w:asciiTheme="majorHAnsi" w:hAnsiTheme="majorHAnsi"/>
                <w:b/>
                <w:color w:val="1F497D"/>
              </w:rPr>
              <w:lastRenderedPageBreak/>
              <w:t>#</w:t>
            </w:r>
          </w:p>
        </w:tc>
        <w:tc>
          <w:tcPr>
            <w:tcW w:w="2880" w:type="dxa"/>
            <w:shd w:val="clear" w:color="auto" w:fill="auto"/>
            <w:vAlign w:val="center"/>
          </w:tcPr>
          <w:p w:rsidR="00326F0A" w:rsidRPr="009E7F03" w:rsidRDefault="00326F0A" w:rsidP="0055542D">
            <w:pPr>
              <w:spacing w:line="300" w:lineRule="auto"/>
              <w:jc w:val="center"/>
              <w:rPr>
                <w:rFonts w:asciiTheme="majorHAnsi" w:hAnsiTheme="majorHAnsi" w:cs="Cambria"/>
                <w:b/>
                <w:color w:val="44546A" w:themeColor="text2"/>
              </w:rPr>
            </w:pPr>
            <w:r w:rsidRPr="009E7F03">
              <w:rPr>
                <w:rFonts w:asciiTheme="majorHAnsi" w:hAnsiTheme="majorHAnsi" w:cs="Cambria"/>
                <w:b/>
                <w:color w:val="44546A" w:themeColor="text2"/>
              </w:rPr>
              <w:t>Proposal</w:t>
            </w:r>
          </w:p>
        </w:tc>
        <w:tc>
          <w:tcPr>
            <w:tcW w:w="1710" w:type="dxa"/>
            <w:shd w:val="clear" w:color="auto" w:fill="auto"/>
            <w:vAlign w:val="center"/>
          </w:tcPr>
          <w:p w:rsidR="00326F0A" w:rsidRPr="009E7F03" w:rsidRDefault="00326F0A" w:rsidP="0055542D">
            <w:pPr>
              <w:spacing w:line="300" w:lineRule="auto"/>
              <w:jc w:val="center"/>
              <w:rPr>
                <w:rFonts w:asciiTheme="majorHAnsi" w:hAnsiTheme="majorHAnsi"/>
                <w:b/>
                <w:color w:val="1F497D"/>
              </w:rPr>
            </w:pPr>
            <w:r w:rsidRPr="009E7F03">
              <w:rPr>
                <w:rFonts w:asciiTheme="majorHAnsi" w:hAnsiTheme="majorHAnsi"/>
                <w:b/>
                <w:color w:val="1F497D"/>
              </w:rPr>
              <w:t>UB Department</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b/>
                <w:color w:val="1F497D"/>
              </w:rPr>
            </w:pPr>
            <w:r w:rsidRPr="009E7F03">
              <w:rPr>
                <w:rFonts w:asciiTheme="majorHAnsi" w:hAnsiTheme="majorHAnsi"/>
                <w:b/>
                <w:color w:val="1F497D"/>
              </w:rPr>
              <w:t>Amount</w:t>
            </w:r>
          </w:p>
        </w:tc>
        <w:tc>
          <w:tcPr>
            <w:tcW w:w="4590" w:type="dxa"/>
            <w:vAlign w:val="center"/>
          </w:tcPr>
          <w:p w:rsidR="00326F0A" w:rsidRPr="009E7F03" w:rsidRDefault="00326F0A" w:rsidP="0055542D">
            <w:pPr>
              <w:autoSpaceDE w:val="0"/>
              <w:autoSpaceDN w:val="0"/>
              <w:adjustRightInd w:val="0"/>
              <w:jc w:val="center"/>
              <w:rPr>
                <w:rFonts w:asciiTheme="majorHAnsi" w:hAnsiTheme="majorHAnsi" w:cs="Calibri"/>
                <w:b/>
                <w:color w:val="44546A" w:themeColor="text2"/>
              </w:rPr>
            </w:pPr>
            <w:r w:rsidRPr="009E7F03">
              <w:rPr>
                <w:rFonts w:asciiTheme="majorHAnsi" w:hAnsiTheme="majorHAnsi" w:cs="Calibri"/>
                <w:b/>
                <w:color w:val="44546A" w:themeColor="text2"/>
              </w:rPr>
              <w:t>Description/Notes</w:t>
            </w:r>
          </w:p>
        </w:tc>
      </w:tr>
      <w:tr w:rsidR="00326F0A" w:rsidTr="0055542D">
        <w:trPr>
          <w:trHeight w:val="1175"/>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18</w:t>
            </w:r>
          </w:p>
        </w:tc>
        <w:tc>
          <w:tcPr>
            <w:tcW w:w="2880" w:type="dxa"/>
            <w:shd w:val="clear" w:color="auto" w:fill="auto"/>
            <w:vAlign w:val="center"/>
          </w:tcPr>
          <w:p w:rsidR="00326F0A" w:rsidRPr="009E7F03" w:rsidRDefault="00326F0A" w:rsidP="0055542D">
            <w:pPr>
              <w:spacing w:line="300" w:lineRule="auto"/>
              <w:rPr>
                <w:rFonts w:asciiTheme="majorHAnsi" w:hAnsiTheme="majorHAnsi" w:cs="Cambria"/>
                <w:color w:val="44546A" w:themeColor="text2"/>
              </w:rPr>
            </w:pPr>
            <w:r w:rsidRPr="009E7F03">
              <w:rPr>
                <w:rFonts w:asciiTheme="majorHAnsi" w:hAnsiTheme="majorHAnsi" w:cs="Cambria"/>
                <w:color w:val="44546A" w:themeColor="text2"/>
              </w:rPr>
              <w:t>Global Experiences in Criminal Justice Program</w:t>
            </w:r>
          </w:p>
        </w:tc>
        <w:tc>
          <w:tcPr>
            <w:tcW w:w="1710" w:type="dxa"/>
            <w:shd w:val="clear" w:color="auto" w:fill="auto"/>
            <w:vAlign w:val="center"/>
          </w:tcPr>
          <w:p w:rsidR="00326F0A" w:rsidRPr="009E7F03" w:rsidRDefault="00326F0A"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color w:val="1F497D"/>
              </w:rPr>
            </w:pPr>
            <w:r w:rsidRPr="009E7F03">
              <w:rPr>
                <w:rFonts w:asciiTheme="majorHAnsi" w:hAnsiTheme="majorHAnsi"/>
                <w:color w:val="1F497D"/>
              </w:rPr>
              <w:t>$9,300</w:t>
            </w:r>
          </w:p>
        </w:tc>
        <w:tc>
          <w:tcPr>
            <w:tcW w:w="4590" w:type="dxa"/>
            <w:vAlign w:val="center"/>
          </w:tcPr>
          <w:p w:rsidR="00326F0A" w:rsidRPr="009E7F03"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Will provide scholarships for eight students in this program.</w:t>
            </w:r>
          </w:p>
        </w:tc>
      </w:tr>
      <w:tr w:rsidR="00326F0A" w:rsidTr="0055542D">
        <w:trPr>
          <w:trHeight w:val="1157"/>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19</w:t>
            </w:r>
          </w:p>
        </w:tc>
        <w:tc>
          <w:tcPr>
            <w:tcW w:w="2880" w:type="dxa"/>
            <w:shd w:val="clear" w:color="auto" w:fill="auto"/>
            <w:vAlign w:val="center"/>
          </w:tcPr>
          <w:p w:rsidR="00326F0A" w:rsidRPr="009E7F03" w:rsidRDefault="00326F0A" w:rsidP="0055542D">
            <w:pPr>
              <w:spacing w:line="300" w:lineRule="auto"/>
              <w:rPr>
                <w:rFonts w:asciiTheme="majorHAnsi" w:hAnsiTheme="majorHAnsi" w:cs="Cambria"/>
                <w:color w:val="44546A" w:themeColor="text2"/>
              </w:rPr>
            </w:pPr>
            <w:r>
              <w:rPr>
                <w:rFonts w:asciiTheme="majorHAnsi" w:hAnsiTheme="majorHAnsi" w:cs="Cambria"/>
                <w:color w:val="44546A" w:themeColor="text2"/>
              </w:rPr>
              <w:t>Video Drone</w:t>
            </w:r>
          </w:p>
        </w:tc>
        <w:tc>
          <w:tcPr>
            <w:tcW w:w="1710" w:type="dxa"/>
            <w:shd w:val="clear" w:color="auto" w:fill="auto"/>
            <w:vAlign w:val="center"/>
          </w:tcPr>
          <w:p w:rsidR="00326F0A" w:rsidRPr="009E7F03"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color w:val="1F497D"/>
              </w:rPr>
            </w:pPr>
            <w:r w:rsidRPr="009E7F03">
              <w:rPr>
                <w:rFonts w:asciiTheme="majorHAnsi" w:hAnsiTheme="majorHAnsi"/>
                <w:color w:val="1F497D"/>
              </w:rPr>
              <w:t>$2,000</w:t>
            </w:r>
          </w:p>
        </w:tc>
        <w:tc>
          <w:tcPr>
            <w:tcW w:w="4590" w:type="dxa"/>
            <w:vAlign w:val="center"/>
          </w:tcPr>
          <w:p w:rsidR="00326F0A" w:rsidRPr="009E7F03"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 xml:space="preserve">The purchase of video drone equipment will introduce the latest cutting-edge technology to video production students.  </w:t>
            </w:r>
          </w:p>
        </w:tc>
      </w:tr>
      <w:tr w:rsidR="00326F0A" w:rsidTr="0055542D">
        <w:trPr>
          <w:trHeight w:val="1265"/>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20</w:t>
            </w:r>
          </w:p>
        </w:tc>
        <w:tc>
          <w:tcPr>
            <w:tcW w:w="2880" w:type="dxa"/>
            <w:shd w:val="clear" w:color="auto" w:fill="auto"/>
            <w:vAlign w:val="center"/>
          </w:tcPr>
          <w:p w:rsidR="00326F0A" w:rsidRPr="009E7F03" w:rsidRDefault="00326F0A" w:rsidP="0055542D">
            <w:pPr>
              <w:spacing w:line="300" w:lineRule="auto"/>
              <w:rPr>
                <w:rFonts w:asciiTheme="majorHAnsi" w:hAnsiTheme="majorHAnsi" w:cs="Cambria"/>
                <w:color w:val="44546A" w:themeColor="text2"/>
              </w:rPr>
            </w:pPr>
            <w:r w:rsidRPr="009E7F03">
              <w:rPr>
                <w:rFonts w:asciiTheme="majorHAnsi" w:hAnsiTheme="majorHAnsi" w:cs="Cambria"/>
                <w:color w:val="44546A" w:themeColor="text2"/>
              </w:rPr>
              <w:t>Foundational Mathematics Supplemental Material</w:t>
            </w:r>
          </w:p>
        </w:tc>
        <w:tc>
          <w:tcPr>
            <w:tcW w:w="1710" w:type="dxa"/>
            <w:shd w:val="clear" w:color="auto" w:fill="auto"/>
            <w:vAlign w:val="center"/>
          </w:tcPr>
          <w:p w:rsidR="00326F0A" w:rsidRPr="009E7F03" w:rsidRDefault="00326F0A" w:rsidP="0055542D">
            <w:pPr>
              <w:spacing w:line="300" w:lineRule="auto"/>
              <w:rPr>
                <w:rFonts w:asciiTheme="majorHAnsi" w:hAnsiTheme="majorHAnsi"/>
                <w:color w:val="1F497D"/>
              </w:rPr>
            </w:pPr>
            <w:r>
              <w:rPr>
                <w:rFonts w:asciiTheme="majorHAnsi" w:hAnsiTheme="majorHAnsi"/>
                <w:color w:val="1F497D"/>
              </w:rPr>
              <w:t>CAS</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color w:val="1F497D"/>
              </w:rPr>
            </w:pPr>
            <w:r>
              <w:rPr>
                <w:rFonts w:asciiTheme="majorHAnsi" w:hAnsiTheme="majorHAnsi"/>
                <w:color w:val="1F497D"/>
              </w:rPr>
              <w:t>$16,000</w:t>
            </w:r>
          </w:p>
        </w:tc>
        <w:tc>
          <w:tcPr>
            <w:tcW w:w="4590" w:type="dxa"/>
            <w:vAlign w:val="center"/>
          </w:tcPr>
          <w:p w:rsidR="00326F0A" w:rsidRPr="009E7F03"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The supplemental material will aid in increasing pass rates in mathematics and improve overall retention rates at UB.</w:t>
            </w:r>
          </w:p>
        </w:tc>
      </w:tr>
      <w:tr w:rsidR="00326F0A" w:rsidTr="0055542D">
        <w:trPr>
          <w:trHeight w:val="1157"/>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21</w:t>
            </w:r>
          </w:p>
        </w:tc>
        <w:tc>
          <w:tcPr>
            <w:tcW w:w="2880" w:type="dxa"/>
            <w:shd w:val="clear" w:color="auto" w:fill="auto"/>
            <w:vAlign w:val="center"/>
          </w:tcPr>
          <w:p w:rsidR="00326F0A" w:rsidRPr="009E7F03" w:rsidRDefault="00326F0A" w:rsidP="0055542D">
            <w:pPr>
              <w:spacing w:line="300" w:lineRule="auto"/>
              <w:rPr>
                <w:rFonts w:asciiTheme="majorHAnsi" w:hAnsiTheme="majorHAnsi" w:cs="Cambria"/>
                <w:color w:val="44546A" w:themeColor="text2"/>
              </w:rPr>
            </w:pPr>
            <w:r w:rsidRPr="009E7F03">
              <w:rPr>
                <w:rFonts w:asciiTheme="majorHAnsi" w:hAnsiTheme="majorHAnsi" w:cs="Cambria"/>
                <w:color w:val="44546A" w:themeColor="text2"/>
              </w:rPr>
              <w:t>Research Fellowship on structural inequality in Baltimore</w:t>
            </w:r>
          </w:p>
        </w:tc>
        <w:tc>
          <w:tcPr>
            <w:tcW w:w="1710" w:type="dxa"/>
            <w:shd w:val="clear" w:color="auto" w:fill="auto"/>
            <w:vAlign w:val="center"/>
          </w:tcPr>
          <w:p w:rsidR="00326F0A" w:rsidRPr="009E7F03" w:rsidRDefault="00326F0A" w:rsidP="0055542D">
            <w:pPr>
              <w:spacing w:line="300" w:lineRule="auto"/>
              <w:rPr>
                <w:rFonts w:asciiTheme="majorHAnsi" w:hAnsiTheme="majorHAnsi"/>
                <w:color w:val="44546A" w:themeColor="text2"/>
              </w:rPr>
            </w:pPr>
            <w:r>
              <w:rPr>
                <w:rFonts w:asciiTheme="majorHAnsi" w:hAnsiTheme="majorHAnsi"/>
                <w:color w:val="44546A" w:themeColor="text2"/>
              </w:rPr>
              <w:t>Library</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color w:val="1F497D"/>
              </w:rPr>
            </w:pPr>
            <w:r>
              <w:rPr>
                <w:rFonts w:asciiTheme="majorHAnsi" w:hAnsiTheme="majorHAnsi"/>
                <w:color w:val="1F497D"/>
              </w:rPr>
              <w:t>$25,000</w:t>
            </w:r>
          </w:p>
        </w:tc>
        <w:tc>
          <w:tcPr>
            <w:tcW w:w="4590" w:type="dxa"/>
            <w:vAlign w:val="center"/>
          </w:tcPr>
          <w:p w:rsidR="00326F0A" w:rsidRPr="009E7F03"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The program will support 4 research fellows and allow the library to host a colloquium on research findings.</w:t>
            </w:r>
          </w:p>
        </w:tc>
      </w:tr>
      <w:tr w:rsidR="00326F0A" w:rsidTr="00E9656F">
        <w:trPr>
          <w:trHeight w:val="1133"/>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22</w:t>
            </w:r>
          </w:p>
        </w:tc>
        <w:tc>
          <w:tcPr>
            <w:tcW w:w="2880" w:type="dxa"/>
            <w:shd w:val="clear" w:color="auto" w:fill="auto"/>
            <w:vAlign w:val="center"/>
          </w:tcPr>
          <w:p w:rsidR="00326F0A" w:rsidRPr="009E7F03" w:rsidRDefault="00326F0A" w:rsidP="0055542D">
            <w:pPr>
              <w:spacing w:line="300" w:lineRule="auto"/>
              <w:rPr>
                <w:rFonts w:asciiTheme="majorHAnsi" w:hAnsiTheme="majorHAnsi" w:cs="Cambria"/>
                <w:color w:val="44546A" w:themeColor="text2"/>
              </w:rPr>
            </w:pPr>
            <w:r w:rsidRPr="009E7F03">
              <w:rPr>
                <w:rFonts w:asciiTheme="majorHAnsi" w:hAnsiTheme="majorHAnsi" w:cs="Cambria"/>
                <w:color w:val="44546A" w:themeColor="text2"/>
              </w:rPr>
              <w:t>Staff development conference</w:t>
            </w:r>
          </w:p>
        </w:tc>
        <w:tc>
          <w:tcPr>
            <w:tcW w:w="1710" w:type="dxa"/>
            <w:shd w:val="clear" w:color="auto" w:fill="auto"/>
            <w:vAlign w:val="center"/>
          </w:tcPr>
          <w:p w:rsidR="00326F0A" w:rsidRPr="009E7F03" w:rsidRDefault="00326F0A" w:rsidP="0055542D">
            <w:pPr>
              <w:spacing w:line="300" w:lineRule="auto"/>
              <w:rPr>
                <w:rFonts w:asciiTheme="majorHAnsi" w:hAnsiTheme="majorHAnsi"/>
                <w:color w:val="1F497D"/>
              </w:rPr>
            </w:pPr>
            <w:r>
              <w:rPr>
                <w:rFonts w:asciiTheme="majorHAnsi" w:hAnsiTheme="majorHAnsi"/>
                <w:color w:val="1F497D"/>
              </w:rPr>
              <w:t>HR</w:t>
            </w:r>
          </w:p>
        </w:tc>
        <w:tc>
          <w:tcPr>
            <w:tcW w:w="1620" w:type="dxa"/>
            <w:shd w:val="clear" w:color="auto" w:fill="auto"/>
            <w:vAlign w:val="center"/>
          </w:tcPr>
          <w:p w:rsidR="00326F0A" w:rsidRPr="009E7F03" w:rsidRDefault="00326F0A" w:rsidP="0055542D">
            <w:pPr>
              <w:spacing w:line="300" w:lineRule="auto"/>
              <w:jc w:val="center"/>
              <w:rPr>
                <w:rFonts w:asciiTheme="majorHAnsi" w:hAnsiTheme="majorHAnsi"/>
                <w:color w:val="1F497D"/>
              </w:rPr>
            </w:pPr>
            <w:r>
              <w:rPr>
                <w:rFonts w:asciiTheme="majorHAnsi" w:hAnsiTheme="majorHAnsi"/>
                <w:color w:val="1F497D"/>
              </w:rPr>
              <w:t>$12,000</w:t>
            </w:r>
          </w:p>
        </w:tc>
        <w:tc>
          <w:tcPr>
            <w:tcW w:w="4590" w:type="dxa"/>
            <w:vAlign w:val="center"/>
          </w:tcPr>
          <w:p w:rsidR="00326F0A" w:rsidRPr="009E7F03" w:rsidRDefault="00326F0A"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Will support a day of professional development for up to 75 staff members in the summer of 2016.</w:t>
            </w:r>
          </w:p>
        </w:tc>
      </w:tr>
      <w:tr w:rsidR="00E9656F" w:rsidTr="0055542D">
        <w:trPr>
          <w:trHeight w:val="1337"/>
        </w:trPr>
        <w:tc>
          <w:tcPr>
            <w:tcW w:w="468" w:type="dxa"/>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23</w:t>
            </w:r>
          </w:p>
        </w:tc>
        <w:tc>
          <w:tcPr>
            <w:tcW w:w="2880" w:type="dxa"/>
            <w:shd w:val="clear" w:color="auto" w:fill="auto"/>
            <w:vAlign w:val="center"/>
          </w:tcPr>
          <w:p w:rsidR="00E9656F" w:rsidRPr="009E7F03" w:rsidRDefault="00E9656F" w:rsidP="0055542D">
            <w:pPr>
              <w:spacing w:line="300" w:lineRule="auto"/>
              <w:rPr>
                <w:rFonts w:asciiTheme="majorHAnsi" w:hAnsiTheme="majorHAnsi" w:cs="Cambria"/>
                <w:color w:val="44546A" w:themeColor="text2"/>
              </w:rPr>
            </w:pPr>
            <w:r w:rsidRPr="00E9656F">
              <w:rPr>
                <w:rFonts w:asciiTheme="majorHAnsi" w:hAnsiTheme="majorHAnsi" w:cs="Cambria"/>
                <w:color w:val="44546A" w:themeColor="text2"/>
              </w:rPr>
              <w:t>Post-Secondary Correction Education Program</w:t>
            </w:r>
          </w:p>
        </w:tc>
        <w:tc>
          <w:tcPr>
            <w:tcW w:w="1710" w:type="dxa"/>
            <w:shd w:val="clear" w:color="auto" w:fill="auto"/>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E9656F" w:rsidRDefault="00E9656F" w:rsidP="0055542D">
            <w:pPr>
              <w:spacing w:line="300" w:lineRule="auto"/>
              <w:jc w:val="center"/>
              <w:rPr>
                <w:rFonts w:asciiTheme="majorHAnsi" w:hAnsiTheme="majorHAnsi"/>
                <w:color w:val="1F497D"/>
              </w:rPr>
            </w:pPr>
            <w:r>
              <w:rPr>
                <w:rFonts w:asciiTheme="majorHAnsi" w:hAnsiTheme="majorHAnsi"/>
                <w:color w:val="1F497D"/>
              </w:rPr>
              <w:t>$15,885</w:t>
            </w:r>
          </w:p>
        </w:tc>
        <w:tc>
          <w:tcPr>
            <w:tcW w:w="4590" w:type="dxa"/>
            <w:vAlign w:val="center"/>
          </w:tcPr>
          <w:p w:rsidR="00E9656F" w:rsidRPr="00C83986" w:rsidRDefault="00C83986" w:rsidP="0055542D">
            <w:pPr>
              <w:autoSpaceDE w:val="0"/>
              <w:autoSpaceDN w:val="0"/>
              <w:adjustRightInd w:val="0"/>
              <w:rPr>
                <w:rFonts w:asciiTheme="majorHAnsi" w:hAnsiTheme="majorHAnsi" w:cs="Calibri"/>
                <w:color w:val="44546A" w:themeColor="text2"/>
              </w:rPr>
            </w:pPr>
            <w:r w:rsidRPr="00C83986">
              <w:rPr>
                <w:rFonts w:asciiTheme="majorHAnsi" w:hAnsiTheme="majorHAnsi"/>
                <w:color w:val="44546A" w:themeColor="text2"/>
              </w:rPr>
              <w:t>This program will provide educational opportunities to non-traditional students, thereby increasing UB’s inclusiveness.</w:t>
            </w:r>
          </w:p>
        </w:tc>
      </w:tr>
      <w:tr w:rsidR="00E9656F" w:rsidTr="00E9656F">
        <w:trPr>
          <w:trHeight w:val="1250"/>
        </w:trPr>
        <w:tc>
          <w:tcPr>
            <w:tcW w:w="468" w:type="dxa"/>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24</w:t>
            </w:r>
          </w:p>
        </w:tc>
        <w:tc>
          <w:tcPr>
            <w:tcW w:w="2880" w:type="dxa"/>
            <w:shd w:val="clear" w:color="auto" w:fill="auto"/>
            <w:vAlign w:val="center"/>
          </w:tcPr>
          <w:p w:rsidR="00E9656F" w:rsidRPr="009E7F03" w:rsidRDefault="00E9656F" w:rsidP="0055542D">
            <w:pPr>
              <w:spacing w:line="300" w:lineRule="auto"/>
              <w:rPr>
                <w:rFonts w:asciiTheme="majorHAnsi" w:hAnsiTheme="majorHAnsi" w:cs="Cambria"/>
                <w:color w:val="44546A" w:themeColor="text2"/>
              </w:rPr>
            </w:pPr>
            <w:proofErr w:type="spellStart"/>
            <w:r>
              <w:rPr>
                <w:rFonts w:asciiTheme="majorHAnsi" w:hAnsiTheme="majorHAnsi" w:cs="Cambria"/>
                <w:color w:val="44546A" w:themeColor="text2"/>
              </w:rPr>
              <w:t>UBelong</w:t>
            </w:r>
            <w:proofErr w:type="spellEnd"/>
          </w:p>
        </w:tc>
        <w:tc>
          <w:tcPr>
            <w:tcW w:w="1710" w:type="dxa"/>
            <w:shd w:val="clear" w:color="auto" w:fill="auto"/>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E9656F" w:rsidRDefault="00E9656F" w:rsidP="0055542D">
            <w:pPr>
              <w:spacing w:line="300" w:lineRule="auto"/>
              <w:jc w:val="center"/>
              <w:rPr>
                <w:rFonts w:asciiTheme="majorHAnsi" w:hAnsiTheme="majorHAnsi"/>
                <w:color w:val="1F497D"/>
              </w:rPr>
            </w:pPr>
            <w:r>
              <w:rPr>
                <w:rFonts w:asciiTheme="majorHAnsi" w:hAnsiTheme="majorHAnsi"/>
                <w:color w:val="1F497D"/>
              </w:rPr>
              <w:t>$5,700</w:t>
            </w:r>
          </w:p>
        </w:tc>
        <w:tc>
          <w:tcPr>
            <w:tcW w:w="4590" w:type="dxa"/>
            <w:vAlign w:val="center"/>
          </w:tcPr>
          <w:p w:rsidR="00E9656F" w:rsidRPr="00C83986" w:rsidRDefault="00C83986" w:rsidP="0055542D">
            <w:pPr>
              <w:autoSpaceDE w:val="0"/>
              <w:autoSpaceDN w:val="0"/>
              <w:adjustRightInd w:val="0"/>
              <w:rPr>
                <w:rFonts w:asciiTheme="majorHAnsi" w:hAnsiTheme="majorHAnsi" w:cs="Calibri"/>
                <w:color w:val="44546A" w:themeColor="text2"/>
              </w:rPr>
            </w:pPr>
            <w:r w:rsidRPr="00C83986">
              <w:rPr>
                <w:rFonts w:asciiTheme="majorHAnsi" w:hAnsiTheme="majorHAnsi"/>
                <w:color w:val="44546A" w:themeColor="text2"/>
              </w:rPr>
              <w:t>This project will enhance the Helping Others To Win program by providing female participants with developing math literacy skills.</w:t>
            </w:r>
          </w:p>
        </w:tc>
      </w:tr>
      <w:tr w:rsidR="00E9656F" w:rsidTr="00E9656F">
        <w:trPr>
          <w:trHeight w:val="1160"/>
        </w:trPr>
        <w:tc>
          <w:tcPr>
            <w:tcW w:w="468" w:type="dxa"/>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25</w:t>
            </w:r>
          </w:p>
        </w:tc>
        <w:tc>
          <w:tcPr>
            <w:tcW w:w="2880" w:type="dxa"/>
            <w:shd w:val="clear" w:color="auto" w:fill="auto"/>
            <w:vAlign w:val="center"/>
          </w:tcPr>
          <w:p w:rsidR="00E9656F" w:rsidRPr="009E7F03" w:rsidRDefault="00E9656F" w:rsidP="0055542D">
            <w:pPr>
              <w:spacing w:line="300" w:lineRule="auto"/>
              <w:rPr>
                <w:rFonts w:asciiTheme="majorHAnsi" w:hAnsiTheme="majorHAnsi" w:cs="Cambria"/>
                <w:color w:val="44546A" w:themeColor="text2"/>
              </w:rPr>
            </w:pPr>
            <w:r w:rsidRPr="00E9656F">
              <w:rPr>
                <w:rFonts w:asciiTheme="majorHAnsi" w:hAnsiTheme="majorHAnsi" w:cs="Cambria"/>
                <w:color w:val="44546A" w:themeColor="text2"/>
              </w:rPr>
              <w:t>Sexual Assault Awareness Month event series</w:t>
            </w:r>
          </w:p>
        </w:tc>
        <w:tc>
          <w:tcPr>
            <w:tcW w:w="1710" w:type="dxa"/>
            <w:shd w:val="clear" w:color="auto" w:fill="auto"/>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CPA</w:t>
            </w:r>
          </w:p>
        </w:tc>
        <w:tc>
          <w:tcPr>
            <w:tcW w:w="1620" w:type="dxa"/>
            <w:shd w:val="clear" w:color="auto" w:fill="auto"/>
            <w:vAlign w:val="center"/>
          </w:tcPr>
          <w:p w:rsidR="00E9656F" w:rsidRDefault="00C83986" w:rsidP="0055542D">
            <w:pPr>
              <w:spacing w:line="300" w:lineRule="auto"/>
              <w:jc w:val="center"/>
              <w:rPr>
                <w:rFonts w:asciiTheme="majorHAnsi" w:hAnsiTheme="majorHAnsi"/>
                <w:color w:val="1F497D"/>
              </w:rPr>
            </w:pPr>
            <w:r>
              <w:rPr>
                <w:rFonts w:asciiTheme="majorHAnsi" w:hAnsiTheme="majorHAnsi"/>
                <w:color w:val="1F497D"/>
              </w:rPr>
              <w:t>$7,600</w:t>
            </w:r>
          </w:p>
        </w:tc>
        <w:tc>
          <w:tcPr>
            <w:tcW w:w="4590" w:type="dxa"/>
            <w:vAlign w:val="center"/>
          </w:tcPr>
          <w:p w:rsidR="00E9656F" w:rsidRDefault="00220181" w:rsidP="0055542D">
            <w:pPr>
              <w:autoSpaceDE w:val="0"/>
              <w:autoSpaceDN w:val="0"/>
              <w:adjustRightInd w:val="0"/>
              <w:rPr>
                <w:rFonts w:asciiTheme="majorHAnsi" w:hAnsiTheme="majorHAnsi" w:cs="Calibri"/>
                <w:color w:val="44546A" w:themeColor="text2"/>
              </w:rPr>
            </w:pPr>
            <w:r>
              <w:rPr>
                <w:rFonts w:asciiTheme="majorHAnsi" w:hAnsiTheme="majorHAnsi" w:cs="Calibri"/>
                <w:color w:val="44546A" w:themeColor="text2"/>
              </w:rPr>
              <w:t>Includes town hall event and posting of signs/posters regarding UB’s sexual assault policies and response.</w:t>
            </w:r>
          </w:p>
        </w:tc>
      </w:tr>
      <w:tr w:rsidR="00E9656F" w:rsidTr="0055542D">
        <w:trPr>
          <w:trHeight w:val="1337"/>
        </w:trPr>
        <w:tc>
          <w:tcPr>
            <w:tcW w:w="468" w:type="dxa"/>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26</w:t>
            </w:r>
          </w:p>
        </w:tc>
        <w:tc>
          <w:tcPr>
            <w:tcW w:w="2880" w:type="dxa"/>
            <w:shd w:val="clear" w:color="auto" w:fill="auto"/>
            <w:vAlign w:val="center"/>
          </w:tcPr>
          <w:p w:rsidR="00E9656F" w:rsidRPr="009E7F03" w:rsidRDefault="00E9656F" w:rsidP="0055542D">
            <w:pPr>
              <w:spacing w:line="300" w:lineRule="auto"/>
              <w:rPr>
                <w:rFonts w:asciiTheme="majorHAnsi" w:hAnsiTheme="majorHAnsi" w:cs="Cambria"/>
                <w:color w:val="44546A" w:themeColor="text2"/>
              </w:rPr>
            </w:pPr>
            <w:r>
              <w:rPr>
                <w:rFonts w:asciiTheme="majorHAnsi" w:hAnsiTheme="majorHAnsi" w:cs="Cambria"/>
                <w:color w:val="44546A" w:themeColor="text2"/>
              </w:rPr>
              <w:t>Mass Incarceration Clinic</w:t>
            </w:r>
          </w:p>
        </w:tc>
        <w:tc>
          <w:tcPr>
            <w:tcW w:w="1710" w:type="dxa"/>
            <w:shd w:val="clear" w:color="auto" w:fill="auto"/>
            <w:vAlign w:val="center"/>
          </w:tcPr>
          <w:p w:rsidR="00E9656F" w:rsidRDefault="00E9656F" w:rsidP="0055542D">
            <w:pPr>
              <w:spacing w:line="300" w:lineRule="auto"/>
              <w:rPr>
                <w:rFonts w:asciiTheme="majorHAnsi" w:hAnsiTheme="majorHAnsi"/>
                <w:color w:val="1F497D"/>
              </w:rPr>
            </w:pPr>
            <w:r>
              <w:rPr>
                <w:rFonts w:asciiTheme="majorHAnsi" w:hAnsiTheme="majorHAnsi"/>
                <w:color w:val="1F497D"/>
              </w:rPr>
              <w:t>Law</w:t>
            </w:r>
          </w:p>
        </w:tc>
        <w:tc>
          <w:tcPr>
            <w:tcW w:w="1620" w:type="dxa"/>
            <w:shd w:val="clear" w:color="auto" w:fill="auto"/>
            <w:vAlign w:val="center"/>
          </w:tcPr>
          <w:p w:rsidR="00E9656F" w:rsidRDefault="00C83986" w:rsidP="0055542D">
            <w:pPr>
              <w:spacing w:line="300" w:lineRule="auto"/>
              <w:jc w:val="center"/>
              <w:rPr>
                <w:rFonts w:asciiTheme="majorHAnsi" w:hAnsiTheme="majorHAnsi"/>
                <w:color w:val="1F497D"/>
              </w:rPr>
            </w:pPr>
            <w:r>
              <w:rPr>
                <w:rFonts w:asciiTheme="majorHAnsi" w:hAnsiTheme="majorHAnsi"/>
                <w:color w:val="1F497D"/>
              </w:rPr>
              <w:t>$9,400</w:t>
            </w:r>
          </w:p>
        </w:tc>
        <w:tc>
          <w:tcPr>
            <w:tcW w:w="4590" w:type="dxa"/>
            <w:vAlign w:val="center"/>
          </w:tcPr>
          <w:p w:rsidR="00E9656F" w:rsidRDefault="00E9656F" w:rsidP="0055542D">
            <w:pPr>
              <w:autoSpaceDE w:val="0"/>
              <w:autoSpaceDN w:val="0"/>
              <w:adjustRightInd w:val="0"/>
              <w:rPr>
                <w:rFonts w:asciiTheme="majorHAnsi" w:hAnsiTheme="majorHAnsi" w:cs="Calibri"/>
                <w:color w:val="44546A" w:themeColor="text2"/>
              </w:rPr>
            </w:pPr>
            <w:bookmarkStart w:id="1" w:name="_GoBack"/>
            <w:bookmarkEnd w:id="1"/>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p>
        </w:tc>
        <w:tc>
          <w:tcPr>
            <w:tcW w:w="2880" w:type="dxa"/>
            <w:shd w:val="clear" w:color="auto" w:fill="auto"/>
            <w:vAlign w:val="center"/>
          </w:tcPr>
          <w:p w:rsidR="00326F0A" w:rsidRDefault="00326F0A" w:rsidP="0055542D">
            <w:pPr>
              <w:spacing w:line="300" w:lineRule="auto"/>
              <w:rPr>
                <w:rFonts w:asciiTheme="majorHAnsi" w:hAnsiTheme="majorHAnsi"/>
                <w:color w:val="1F497D"/>
              </w:rPr>
            </w:pPr>
          </w:p>
        </w:tc>
        <w:tc>
          <w:tcPr>
            <w:tcW w:w="1710" w:type="dxa"/>
            <w:shd w:val="clear" w:color="auto" w:fill="auto"/>
            <w:vAlign w:val="center"/>
          </w:tcPr>
          <w:p w:rsidR="00326F0A" w:rsidRPr="00435C0B" w:rsidRDefault="00326F0A" w:rsidP="0055542D">
            <w:pPr>
              <w:spacing w:line="300" w:lineRule="auto"/>
              <w:rPr>
                <w:rFonts w:asciiTheme="majorHAnsi" w:hAnsiTheme="majorHAnsi"/>
                <w:b/>
                <w:color w:val="1F497D"/>
              </w:rPr>
            </w:pPr>
            <w:r w:rsidRPr="00435C0B">
              <w:rPr>
                <w:rFonts w:asciiTheme="majorHAnsi" w:hAnsiTheme="majorHAnsi"/>
                <w:b/>
                <w:color w:val="1F497D"/>
              </w:rPr>
              <w:t>TOTAL</w:t>
            </w:r>
          </w:p>
        </w:tc>
        <w:tc>
          <w:tcPr>
            <w:tcW w:w="1620" w:type="dxa"/>
            <w:shd w:val="clear" w:color="auto" w:fill="auto"/>
            <w:vAlign w:val="center"/>
          </w:tcPr>
          <w:p w:rsidR="00326F0A" w:rsidRPr="00D31A02" w:rsidRDefault="00326F0A" w:rsidP="00C83986">
            <w:pPr>
              <w:spacing w:line="300" w:lineRule="auto"/>
              <w:jc w:val="center"/>
              <w:rPr>
                <w:rFonts w:asciiTheme="majorHAnsi" w:hAnsiTheme="majorHAnsi"/>
                <w:b/>
                <w:color w:val="1F497D"/>
              </w:rPr>
            </w:pPr>
            <w:r>
              <w:rPr>
                <w:rFonts w:asciiTheme="majorHAnsi" w:hAnsiTheme="majorHAnsi"/>
                <w:b/>
                <w:color w:val="1F497D"/>
              </w:rPr>
              <w:t>$</w:t>
            </w:r>
            <w:r w:rsidR="00C83986">
              <w:rPr>
                <w:rFonts w:asciiTheme="majorHAnsi" w:hAnsiTheme="majorHAnsi"/>
                <w:b/>
                <w:color w:val="44546A" w:themeColor="text2"/>
              </w:rPr>
              <w:t>327,982</w:t>
            </w:r>
          </w:p>
        </w:tc>
        <w:tc>
          <w:tcPr>
            <w:tcW w:w="4590" w:type="dxa"/>
            <w:vAlign w:val="center"/>
          </w:tcPr>
          <w:p w:rsidR="00326F0A" w:rsidRDefault="00326F0A" w:rsidP="0055542D">
            <w:pPr>
              <w:spacing w:line="300" w:lineRule="auto"/>
              <w:jc w:val="center"/>
              <w:rPr>
                <w:rFonts w:asciiTheme="majorHAnsi" w:hAnsiTheme="majorHAnsi"/>
                <w:color w:val="1F497D"/>
              </w:rPr>
            </w:pPr>
          </w:p>
        </w:tc>
      </w:tr>
    </w:tbl>
    <w:p w:rsidR="00326F0A" w:rsidRDefault="00326F0A"/>
    <w:sectPr w:rsidR="00326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0A"/>
    <w:rsid w:val="00220181"/>
    <w:rsid w:val="00326F0A"/>
    <w:rsid w:val="00C83986"/>
    <w:rsid w:val="00E9656F"/>
    <w:rsid w:val="00F6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16DB-7B57-4BF3-AE2D-CEEA40C4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Belzer</dc:creator>
  <cp:keywords/>
  <dc:description/>
  <cp:lastModifiedBy>Hillary Belzer</cp:lastModifiedBy>
  <cp:revision>3</cp:revision>
  <dcterms:created xsi:type="dcterms:W3CDTF">2016-01-05T19:11:00Z</dcterms:created>
  <dcterms:modified xsi:type="dcterms:W3CDTF">2016-05-17T13:46:00Z</dcterms:modified>
</cp:coreProperties>
</file>