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314" w:rsidRPr="00326F0A" w:rsidRDefault="00326F0A" w:rsidP="00326F0A">
      <w:pPr>
        <w:jc w:val="center"/>
        <w:rPr>
          <w:b/>
        </w:rPr>
      </w:pPr>
      <w:r w:rsidRPr="00326F0A">
        <w:rPr>
          <w:b/>
        </w:rPr>
        <w:t>University of Baltimore Foundation</w:t>
      </w:r>
      <w:r w:rsidRPr="00326F0A">
        <w:rPr>
          <w:b/>
        </w:rPr>
        <w:br/>
        <w:t xml:space="preserve">Fund for Excellence </w:t>
      </w:r>
      <w:r w:rsidR="00E90C47">
        <w:rPr>
          <w:b/>
        </w:rPr>
        <w:t xml:space="preserve">Grants Program </w:t>
      </w:r>
      <w:r w:rsidR="00E90C47">
        <w:rPr>
          <w:b/>
        </w:rPr>
        <w:br/>
      </w:r>
      <w:r w:rsidRPr="00326F0A">
        <w:rPr>
          <w:b/>
        </w:rPr>
        <w:t>App</w:t>
      </w:r>
      <w:r w:rsidR="005F6804">
        <w:rPr>
          <w:b/>
        </w:rPr>
        <w:t>roved Proposals Summary, FY 2017</w:t>
      </w:r>
    </w:p>
    <w:tbl>
      <w:tblPr>
        <w:tblStyle w:val="TableGrid"/>
        <w:tblpPr w:leftFromText="180" w:rightFromText="180" w:vertAnchor="page" w:horzAnchor="margin" w:tblpXSpec="center" w:tblpY="2545"/>
        <w:tblW w:w="1126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468"/>
        <w:gridCol w:w="2880"/>
        <w:gridCol w:w="1710"/>
        <w:gridCol w:w="1620"/>
        <w:gridCol w:w="4590"/>
      </w:tblGrid>
      <w:tr w:rsidR="00326F0A" w:rsidTr="0055542D">
        <w:trPr>
          <w:trHeight w:val="504"/>
        </w:trPr>
        <w:tc>
          <w:tcPr>
            <w:tcW w:w="468" w:type="dxa"/>
            <w:vAlign w:val="center"/>
          </w:tcPr>
          <w:p w:rsidR="00326F0A" w:rsidRPr="00727377" w:rsidRDefault="00326F0A" w:rsidP="0055542D">
            <w:pPr>
              <w:spacing w:line="300" w:lineRule="auto"/>
              <w:jc w:val="center"/>
              <w:rPr>
                <w:rFonts w:ascii="Cambria" w:hAnsi="Cambria"/>
                <w:b/>
                <w:color w:val="1F497D"/>
              </w:rPr>
            </w:pPr>
            <w:r w:rsidRPr="00727377">
              <w:rPr>
                <w:rFonts w:ascii="Cambria" w:hAnsi="Cambria"/>
                <w:b/>
                <w:color w:val="1F497D"/>
              </w:rPr>
              <w:t>#</w:t>
            </w:r>
          </w:p>
        </w:tc>
        <w:tc>
          <w:tcPr>
            <w:tcW w:w="2880" w:type="dxa"/>
            <w:shd w:val="clear" w:color="auto" w:fill="auto"/>
            <w:vAlign w:val="center"/>
          </w:tcPr>
          <w:p w:rsidR="00326F0A" w:rsidRPr="00727377" w:rsidRDefault="00326F0A" w:rsidP="0055542D">
            <w:pPr>
              <w:spacing w:line="300" w:lineRule="auto"/>
              <w:rPr>
                <w:rFonts w:ascii="Cambria" w:hAnsi="Cambria"/>
                <w:b/>
                <w:color w:val="1F497D"/>
              </w:rPr>
            </w:pPr>
            <w:bookmarkStart w:id="0" w:name="_MailOriginal"/>
            <w:r w:rsidRPr="00727377">
              <w:rPr>
                <w:rFonts w:ascii="Cambria" w:hAnsi="Cambria"/>
                <w:b/>
                <w:color w:val="1F497D"/>
              </w:rPr>
              <w:t>Proposal</w:t>
            </w:r>
          </w:p>
        </w:tc>
        <w:tc>
          <w:tcPr>
            <w:tcW w:w="1710" w:type="dxa"/>
            <w:shd w:val="clear" w:color="auto" w:fill="auto"/>
            <w:vAlign w:val="center"/>
          </w:tcPr>
          <w:p w:rsidR="00326F0A" w:rsidRPr="00727377" w:rsidRDefault="00326F0A" w:rsidP="0055542D">
            <w:pPr>
              <w:spacing w:line="300" w:lineRule="auto"/>
              <w:jc w:val="center"/>
              <w:rPr>
                <w:rFonts w:ascii="Cambria" w:hAnsi="Cambria"/>
                <w:b/>
                <w:color w:val="1F497D"/>
              </w:rPr>
            </w:pPr>
            <w:r>
              <w:rPr>
                <w:rFonts w:ascii="Cambria" w:hAnsi="Cambria"/>
                <w:b/>
                <w:color w:val="1F497D"/>
              </w:rPr>
              <w:t>UB Department</w:t>
            </w:r>
          </w:p>
        </w:tc>
        <w:tc>
          <w:tcPr>
            <w:tcW w:w="1620" w:type="dxa"/>
            <w:shd w:val="clear" w:color="auto" w:fill="auto"/>
            <w:vAlign w:val="center"/>
          </w:tcPr>
          <w:p w:rsidR="00326F0A" w:rsidRPr="00727377" w:rsidRDefault="00326F0A" w:rsidP="0055542D">
            <w:pPr>
              <w:spacing w:line="300" w:lineRule="auto"/>
              <w:jc w:val="center"/>
              <w:rPr>
                <w:rFonts w:ascii="Cambria" w:hAnsi="Cambria"/>
                <w:b/>
                <w:color w:val="1F497D"/>
              </w:rPr>
            </w:pPr>
            <w:r w:rsidRPr="00727377">
              <w:rPr>
                <w:rFonts w:ascii="Cambria" w:hAnsi="Cambria"/>
                <w:b/>
                <w:color w:val="1F497D"/>
              </w:rPr>
              <w:t>Amount</w:t>
            </w:r>
          </w:p>
        </w:tc>
        <w:tc>
          <w:tcPr>
            <w:tcW w:w="4590" w:type="dxa"/>
            <w:vAlign w:val="center"/>
          </w:tcPr>
          <w:p w:rsidR="00326F0A" w:rsidRPr="00727377" w:rsidRDefault="00326F0A" w:rsidP="0055542D">
            <w:pPr>
              <w:spacing w:line="300" w:lineRule="auto"/>
              <w:jc w:val="center"/>
              <w:rPr>
                <w:rFonts w:ascii="Cambria" w:hAnsi="Cambria"/>
                <w:b/>
                <w:color w:val="1F497D"/>
              </w:rPr>
            </w:pPr>
            <w:r>
              <w:rPr>
                <w:rFonts w:ascii="Cambria" w:hAnsi="Cambria"/>
                <w:b/>
                <w:color w:val="1F497D"/>
              </w:rPr>
              <w:t>Description/Notes</w:t>
            </w:r>
          </w:p>
        </w:tc>
      </w:tr>
      <w:tr w:rsidR="00326F0A" w:rsidTr="0055542D">
        <w:trPr>
          <w:trHeight w:val="504"/>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1</w:t>
            </w:r>
          </w:p>
        </w:tc>
        <w:tc>
          <w:tcPr>
            <w:tcW w:w="2880" w:type="dxa"/>
            <w:shd w:val="clear" w:color="auto" w:fill="auto"/>
            <w:vAlign w:val="center"/>
          </w:tcPr>
          <w:p w:rsidR="00326F0A" w:rsidRPr="00D02C73" w:rsidRDefault="005F6804" w:rsidP="0055542D">
            <w:pPr>
              <w:spacing w:line="300" w:lineRule="auto"/>
              <w:rPr>
                <w:color w:val="1F4E79" w:themeColor="accent1" w:themeShade="80"/>
              </w:rPr>
            </w:pPr>
            <w:r w:rsidRPr="00D02C73">
              <w:rPr>
                <w:color w:val="1F4E79" w:themeColor="accent1" w:themeShade="80"/>
              </w:rPr>
              <w:t>Performance Studies: Baltimore</w:t>
            </w:r>
          </w:p>
        </w:tc>
        <w:tc>
          <w:tcPr>
            <w:tcW w:w="1710" w:type="dxa"/>
            <w:shd w:val="clear" w:color="auto" w:fill="auto"/>
            <w:vAlign w:val="center"/>
          </w:tcPr>
          <w:p w:rsidR="00326F0A" w:rsidRPr="00D02C73" w:rsidRDefault="005F6804" w:rsidP="0055542D">
            <w:pPr>
              <w:spacing w:line="300" w:lineRule="auto"/>
              <w:rPr>
                <w:color w:val="1F4E79" w:themeColor="accent1" w:themeShade="80"/>
              </w:rPr>
            </w:pPr>
            <w:r w:rsidRPr="00D02C73">
              <w:rPr>
                <w:color w:val="1F4E79" w:themeColor="accent1" w:themeShade="80"/>
              </w:rPr>
              <w:t>CAS</w:t>
            </w:r>
          </w:p>
        </w:tc>
        <w:tc>
          <w:tcPr>
            <w:tcW w:w="1620" w:type="dxa"/>
            <w:shd w:val="clear" w:color="auto" w:fill="auto"/>
            <w:vAlign w:val="center"/>
          </w:tcPr>
          <w:p w:rsidR="00326F0A" w:rsidRPr="00D02C73" w:rsidRDefault="00326F0A" w:rsidP="005F6804">
            <w:pPr>
              <w:spacing w:line="300" w:lineRule="auto"/>
              <w:jc w:val="center"/>
              <w:rPr>
                <w:color w:val="1F4E79" w:themeColor="accent1" w:themeShade="80"/>
              </w:rPr>
            </w:pPr>
            <w:r w:rsidRPr="00D02C73">
              <w:rPr>
                <w:color w:val="1F4E79" w:themeColor="accent1" w:themeShade="80"/>
              </w:rPr>
              <w:t>$</w:t>
            </w:r>
            <w:r w:rsidR="005F6804" w:rsidRPr="00D02C73">
              <w:rPr>
                <w:color w:val="1F4E79" w:themeColor="accent1" w:themeShade="80"/>
              </w:rPr>
              <w:t>25,000</w:t>
            </w:r>
          </w:p>
        </w:tc>
        <w:tc>
          <w:tcPr>
            <w:tcW w:w="4590" w:type="dxa"/>
            <w:vAlign w:val="center"/>
          </w:tcPr>
          <w:p w:rsidR="00326F0A" w:rsidRPr="00D02C73" w:rsidRDefault="005F6804" w:rsidP="00B07648">
            <w:pPr>
              <w:rPr>
                <w:color w:val="1F4E79" w:themeColor="accent1" w:themeShade="80"/>
              </w:rPr>
            </w:pPr>
            <w:r w:rsidRPr="00D02C73">
              <w:rPr>
                <w:color w:val="1F4E79" w:themeColor="accent1" w:themeShade="80"/>
              </w:rPr>
              <w:t>This is an expansion of the existing Performance Studies program and will greatly enhance the Integrated Arts program.</w:t>
            </w:r>
          </w:p>
        </w:tc>
      </w:tr>
      <w:tr w:rsidR="00326F0A" w:rsidTr="0055542D">
        <w:trPr>
          <w:trHeight w:val="504"/>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2</w:t>
            </w:r>
          </w:p>
        </w:tc>
        <w:tc>
          <w:tcPr>
            <w:tcW w:w="2880" w:type="dxa"/>
            <w:shd w:val="clear" w:color="auto" w:fill="auto"/>
            <w:vAlign w:val="center"/>
          </w:tcPr>
          <w:p w:rsidR="00326F0A" w:rsidRPr="00D02C73" w:rsidRDefault="005F6804" w:rsidP="0055542D">
            <w:pPr>
              <w:spacing w:line="300" w:lineRule="auto"/>
              <w:rPr>
                <w:color w:val="1F4E79" w:themeColor="accent1" w:themeShade="80"/>
              </w:rPr>
            </w:pPr>
            <w:r w:rsidRPr="00D02C73">
              <w:rPr>
                <w:color w:val="1F4E79" w:themeColor="accent1" w:themeShade="80"/>
              </w:rPr>
              <w:t>Developing Cyber Security Management Competencies and Programs at UB</w:t>
            </w:r>
          </w:p>
        </w:tc>
        <w:tc>
          <w:tcPr>
            <w:tcW w:w="1710" w:type="dxa"/>
            <w:shd w:val="clear" w:color="auto" w:fill="auto"/>
            <w:vAlign w:val="center"/>
          </w:tcPr>
          <w:p w:rsidR="00326F0A" w:rsidRPr="00D02C73" w:rsidRDefault="005F6804" w:rsidP="0055542D">
            <w:pPr>
              <w:spacing w:line="300" w:lineRule="auto"/>
              <w:rPr>
                <w:color w:val="1F4E79" w:themeColor="accent1" w:themeShade="80"/>
              </w:rPr>
            </w:pPr>
            <w:r w:rsidRPr="00D02C73">
              <w:rPr>
                <w:color w:val="1F4E79" w:themeColor="accent1" w:themeShade="80"/>
              </w:rPr>
              <w:t>MSB</w:t>
            </w:r>
          </w:p>
        </w:tc>
        <w:tc>
          <w:tcPr>
            <w:tcW w:w="1620" w:type="dxa"/>
            <w:shd w:val="clear" w:color="auto" w:fill="auto"/>
            <w:vAlign w:val="center"/>
          </w:tcPr>
          <w:p w:rsidR="00326F0A" w:rsidRPr="00D02C73" w:rsidRDefault="00326F0A" w:rsidP="005F6804">
            <w:pPr>
              <w:spacing w:line="300" w:lineRule="auto"/>
              <w:jc w:val="center"/>
              <w:rPr>
                <w:color w:val="1F4E79" w:themeColor="accent1" w:themeShade="80"/>
              </w:rPr>
            </w:pPr>
            <w:r w:rsidRPr="00D02C73">
              <w:rPr>
                <w:color w:val="1F4E79" w:themeColor="accent1" w:themeShade="80"/>
              </w:rPr>
              <w:t>$</w:t>
            </w:r>
            <w:r w:rsidR="005F6804" w:rsidRPr="00D02C73">
              <w:rPr>
                <w:color w:val="1F4E79" w:themeColor="accent1" w:themeShade="80"/>
              </w:rPr>
              <w:t>18,360</w:t>
            </w:r>
          </w:p>
        </w:tc>
        <w:tc>
          <w:tcPr>
            <w:tcW w:w="4590" w:type="dxa"/>
            <w:vAlign w:val="center"/>
          </w:tcPr>
          <w:p w:rsidR="00326F0A" w:rsidRPr="00D02C73" w:rsidRDefault="005F6804" w:rsidP="00B07648">
            <w:pPr>
              <w:rPr>
                <w:color w:val="1F4E79" w:themeColor="accent1" w:themeShade="80"/>
              </w:rPr>
            </w:pPr>
            <w:r w:rsidRPr="00D02C73">
              <w:rPr>
                <w:color w:val="1F4E79" w:themeColor="accent1" w:themeShade="80"/>
              </w:rPr>
              <w:t>These programs will enhance the existing UB cyber management curriculum and help drive enrollment for the Merrick School of Business.</w:t>
            </w:r>
          </w:p>
        </w:tc>
      </w:tr>
      <w:tr w:rsidR="00326F0A" w:rsidTr="00B07648">
        <w:trPr>
          <w:trHeight w:val="653"/>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3</w:t>
            </w:r>
          </w:p>
        </w:tc>
        <w:tc>
          <w:tcPr>
            <w:tcW w:w="2880" w:type="dxa"/>
            <w:shd w:val="clear" w:color="auto" w:fill="auto"/>
            <w:vAlign w:val="center"/>
          </w:tcPr>
          <w:p w:rsidR="00326F0A" w:rsidRPr="00D02C73" w:rsidRDefault="005F6804" w:rsidP="0055542D">
            <w:pPr>
              <w:spacing w:line="300" w:lineRule="auto"/>
              <w:rPr>
                <w:color w:val="1F4E79" w:themeColor="accent1" w:themeShade="80"/>
              </w:rPr>
            </w:pPr>
            <w:r w:rsidRPr="00D02C73">
              <w:rPr>
                <w:color w:val="1F4E79" w:themeColor="accent1" w:themeShade="80"/>
              </w:rPr>
              <w:t>Legal Writing Center</w:t>
            </w:r>
          </w:p>
        </w:tc>
        <w:tc>
          <w:tcPr>
            <w:tcW w:w="1710" w:type="dxa"/>
            <w:shd w:val="clear" w:color="auto" w:fill="auto"/>
            <w:vAlign w:val="center"/>
          </w:tcPr>
          <w:p w:rsidR="00326F0A" w:rsidRPr="00D02C73" w:rsidRDefault="005F6804" w:rsidP="0055542D">
            <w:pPr>
              <w:spacing w:line="300" w:lineRule="auto"/>
              <w:rPr>
                <w:color w:val="1F4E79" w:themeColor="accent1" w:themeShade="80"/>
              </w:rPr>
            </w:pPr>
            <w:r w:rsidRPr="00D02C73">
              <w:rPr>
                <w:color w:val="1F4E79" w:themeColor="accent1" w:themeShade="80"/>
              </w:rPr>
              <w:t>Law</w:t>
            </w:r>
          </w:p>
        </w:tc>
        <w:tc>
          <w:tcPr>
            <w:tcW w:w="1620" w:type="dxa"/>
            <w:shd w:val="clear" w:color="auto" w:fill="auto"/>
            <w:vAlign w:val="center"/>
          </w:tcPr>
          <w:p w:rsidR="00326F0A" w:rsidRPr="00D02C73" w:rsidRDefault="00326F0A" w:rsidP="005F6804">
            <w:pPr>
              <w:spacing w:line="300" w:lineRule="auto"/>
              <w:jc w:val="center"/>
              <w:rPr>
                <w:color w:val="1F4E79" w:themeColor="accent1" w:themeShade="80"/>
              </w:rPr>
            </w:pPr>
            <w:r w:rsidRPr="00D02C73">
              <w:rPr>
                <w:color w:val="1F4E79" w:themeColor="accent1" w:themeShade="80"/>
              </w:rPr>
              <w:t>$</w:t>
            </w:r>
            <w:r w:rsidR="005F6804" w:rsidRPr="00D02C73">
              <w:rPr>
                <w:color w:val="1F4E79" w:themeColor="accent1" w:themeShade="80"/>
              </w:rPr>
              <w:t>7,700</w:t>
            </w:r>
          </w:p>
        </w:tc>
        <w:tc>
          <w:tcPr>
            <w:tcW w:w="4590" w:type="dxa"/>
            <w:vAlign w:val="center"/>
          </w:tcPr>
          <w:p w:rsidR="00326F0A" w:rsidRPr="00D02C73" w:rsidRDefault="005F6804" w:rsidP="00B07648">
            <w:pPr>
              <w:rPr>
                <w:color w:val="1F4E79" w:themeColor="accent1" w:themeShade="80"/>
              </w:rPr>
            </w:pPr>
            <w:r w:rsidRPr="00D02C73">
              <w:rPr>
                <w:color w:val="1F4E79" w:themeColor="accent1" w:themeShade="80"/>
              </w:rPr>
              <w:t>Funds would be used for student support and reference materials.</w:t>
            </w:r>
          </w:p>
        </w:tc>
      </w:tr>
      <w:tr w:rsidR="00326F0A" w:rsidTr="00D02C73">
        <w:trPr>
          <w:trHeight w:val="932"/>
        </w:trPr>
        <w:tc>
          <w:tcPr>
            <w:tcW w:w="468" w:type="dxa"/>
            <w:vAlign w:val="center"/>
          </w:tcPr>
          <w:p w:rsidR="00326F0A" w:rsidRPr="001E0F12" w:rsidRDefault="00326F0A" w:rsidP="0055542D">
            <w:pPr>
              <w:spacing w:line="300" w:lineRule="auto"/>
              <w:rPr>
                <w:rFonts w:asciiTheme="majorHAnsi" w:hAnsiTheme="majorHAnsi"/>
                <w:color w:val="1F497D"/>
              </w:rPr>
            </w:pPr>
            <w:r>
              <w:rPr>
                <w:rFonts w:asciiTheme="majorHAnsi" w:hAnsiTheme="majorHAnsi"/>
                <w:color w:val="1F497D"/>
              </w:rPr>
              <w:t>4</w:t>
            </w:r>
          </w:p>
        </w:tc>
        <w:tc>
          <w:tcPr>
            <w:tcW w:w="2880" w:type="dxa"/>
            <w:shd w:val="clear" w:color="auto" w:fill="auto"/>
            <w:vAlign w:val="center"/>
          </w:tcPr>
          <w:p w:rsidR="00326F0A" w:rsidRPr="00D02C73" w:rsidRDefault="005F6804" w:rsidP="0055542D">
            <w:pPr>
              <w:spacing w:line="300" w:lineRule="auto"/>
              <w:rPr>
                <w:color w:val="1F4E79" w:themeColor="accent1" w:themeShade="80"/>
              </w:rPr>
            </w:pPr>
            <w:r w:rsidRPr="00D02C73">
              <w:rPr>
                <w:color w:val="1F4E79" w:themeColor="accent1" w:themeShade="80"/>
              </w:rPr>
              <w:t>Study Abroad at University of Barcelona, Spain</w:t>
            </w:r>
          </w:p>
        </w:tc>
        <w:tc>
          <w:tcPr>
            <w:tcW w:w="1710" w:type="dxa"/>
            <w:shd w:val="clear" w:color="auto" w:fill="auto"/>
            <w:vAlign w:val="center"/>
          </w:tcPr>
          <w:p w:rsidR="00326F0A" w:rsidRPr="00D02C73" w:rsidRDefault="00326F0A" w:rsidP="0055542D">
            <w:pPr>
              <w:spacing w:line="300" w:lineRule="auto"/>
              <w:rPr>
                <w:color w:val="1F4E79" w:themeColor="accent1" w:themeShade="80"/>
              </w:rPr>
            </w:pPr>
            <w:r w:rsidRPr="00D02C73">
              <w:rPr>
                <w:color w:val="1F4E79" w:themeColor="accent1" w:themeShade="80"/>
              </w:rPr>
              <w:t>CPA</w:t>
            </w:r>
          </w:p>
        </w:tc>
        <w:tc>
          <w:tcPr>
            <w:tcW w:w="1620" w:type="dxa"/>
            <w:shd w:val="clear" w:color="auto" w:fill="auto"/>
            <w:vAlign w:val="center"/>
          </w:tcPr>
          <w:p w:rsidR="00326F0A" w:rsidRPr="00D02C73" w:rsidRDefault="00326F0A" w:rsidP="005F6804">
            <w:pPr>
              <w:spacing w:line="300" w:lineRule="auto"/>
              <w:jc w:val="center"/>
              <w:rPr>
                <w:color w:val="1F4E79" w:themeColor="accent1" w:themeShade="80"/>
              </w:rPr>
            </w:pPr>
            <w:r w:rsidRPr="00D02C73">
              <w:rPr>
                <w:color w:val="1F4E79" w:themeColor="accent1" w:themeShade="80"/>
              </w:rPr>
              <w:t>$</w:t>
            </w:r>
            <w:r w:rsidR="005F6804" w:rsidRPr="00D02C73">
              <w:rPr>
                <w:color w:val="1F4E79" w:themeColor="accent1" w:themeShade="80"/>
              </w:rPr>
              <w:t>16,000</w:t>
            </w:r>
          </w:p>
        </w:tc>
        <w:tc>
          <w:tcPr>
            <w:tcW w:w="4590" w:type="dxa"/>
            <w:vAlign w:val="center"/>
          </w:tcPr>
          <w:p w:rsidR="00326F0A" w:rsidRPr="00D02C73" w:rsidRDefault="00D02C73" w:rsidP="00B07648">
            <w:pPr>
              <w:rPr>
                <w:color w:val="1F4E79" w:themeColor="accent1" w:themeShade="80"/>
              </w:rPr>
            </w:pPr>
            <w:r>
              <w:rPr>
                <w:color w:val="1F4E79" w:themeColor="accent1" w:themeShade="80"/>
              </w:rPr>
              <w:t>Funds are to</w:t>
            </w:r>
            <w:r w:rsidRPr="00D02C73">
              <w:rPr>
                <w:color w:val="1F4E79" w:themeColor="accent1" w:themeShade="80"/>
              </w:rPr>
              <w:t xml:space="preserve"> provide scholarships to offset students’ costs to attend a 10-day study abroad program.</w:t>
            </w:r>
          </w:p>
        </w:tc>
      </w:tr>
      <w:tr w:rsidR="00326F0A" w:rsidTr="00B07648">
        <w:trPr>
          <w:trHeight w:val="1643"/>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5</w:t>
            </w:r>
          </w:p>
        </w:tc>
        <w:tc>
          <w:tcPr>
            <w:tcW w:w="2880" w:type="dxa"/>
            <w:shd w:val="clear" w:color="auto" w:fill="auto"/>
            <w:vAlign w:val="center"/>
          </w:tcPr>
          <w:p w:rsidR="00326F0A" w:rsidRPr="00D02C73" w:rsidRDefault="005F6804" w:rsidP="0055542D">
            <w:pPr>
              <w:spacing w:line="300" w:lineRule="auto"/>
              <w:rPr>
                <w:color w:val="1F4E79" w:themeColor="accent1" w:themeShade="80"/>
              </w:rPr>
            </w:pPr>
            <w:r w:rsidRPr="00D02C73">
              <w:rPr>
                <w:color w:val="1F4E79" w:themeColor="accent1" w:themeShade="80"/>
              </w:rPr>
              <w:t>School of Law-Kennedy Krieger Initiative</w:t>
            </w:r>
          </w:p>
        </w:tc>
        <w:tc>
          <w:tcPr>
            <w:tcW w:w="1710" w:type="dxa"/>
            <w:shd w:val="clear" w:color="auto" w:fill="auto"/>
            <w:vAlign w:val="center"/>
          </w:tcPr>
          <w:p w:rsidR="00326F0A" w:rsidRPr="00D02C73" w:rsidRDefault="005F6804" w:rsidP="0055542D">
            <w:pPr>
              <w:spacing w:line="300" w:lineRule="auto"/>
              <w:rPr>
                <w:color w:val="1F4E79" w:themeColor="accent1" w:themeShade="80"/>
              </w:rPr>
            </w:pPr>
            <w:r w:rsidRPr="00D02C73">
              <w:rPr>
                <w:color w:val="1F4E79" w:themeColor="accent1" w:themeShade="80"/>
              </w:rPr>
              <w:t>Law</w:t>
            </w:r>
          </w:p>
        </w:tc>
        <w:tc>
          <w:tcPr>
            <w:tcW w:w="1620" w:type="dxa"/>
            <w:shd w:val="clear" w:color="auto" w:fill="auto"/>
            <w:vAlign w:val="center"/>
          </w:tcPr>
          <w:p w:rsidR="00326F0A" w:rsidRPr="00D02C73" w:rsidRDefault="00326F0A" w:rsidP="005F6804">
            <w:pPr>
              <w:spacing w:line="300" w:lineRule="auto"/>
              <w:jc w:val="center"/>
              <w:rPr>
                <w:color w:val="1F4E79" w:themeColor="accent1" w:themeShade="80"/>
              </w:rPr>
            </w:pPr>
            <w:r w:rsidRPr="00D02C73">
              <w:rPr>
                <w:color w:val="1F4E79" w:themeColor="accent1" w:themeShade="80"/>
              </w:rPr>
              <w:t>$</w:t>
            </w:r>
            <w:r w:rsidR="005F6804" w:rsidRPr="00D02C73">
              <w:rPr>
                <w:color w:val="1F4E79" w:themeColor="accent1" w:themeShade="80"/>
              </w:rPr>
              <w:t>20,000</w:t>
            </w:r>
          </w:p>
        </w:tc>
        <w:tc>
          <w:tcPr>
            <w:tcW w:w="4590" w:type="dxa"/>
            <w:vAlign w:val="center"/>
          </w:tcPr>
          <w:p w:rsidR="00326F0A" w:rsidRPr="00D02C73" w:rsidRDefault="00D02C73" w:rsidP="00B07648">
            <w:pPr>
              <w:rPr>
                <w:color w:val="1F497D"/>
              </w:rPr>
            </w:pPr>
            <w:r>
              <w:rPr>
                <w:color w:val="1F497D"/>
              </w:rPr>
              <w:t>Promotes student engagement by allowing law students (under the direct supervision of a Maryland Bar member) to represent patients, students and families of persons with disabilities in partnership with Kennedy Krieger.</w:t>
            </w:r>
          </w:p>
        </w:tc>
      </w:tr>
      <w:tr w:rsidR="00326F0A" w:rsidTr="0055542D">
        <w:trPr>
          <w:trHeight w:val="504"/>
        </w:trPr>
        <w:tc>
          <w:tcPr>
            <w:tcW w:w="468" w:type="dxa"/>
            <w:vAlign w:val="center"/>
          </w:tcPr>
          <w:p w:rsidR="00326F0A" w:rsidRPr="008774DE" w:rsidRDefault="00326F0A" w:rsidP="0055542D">
            <w:pPr>
              <w:spacing w:line="300" w:lineRule="auto"/>
              <w:rPr>
                <w:rFonts w:asciiTheme="majorHAnsi" w:hAnsiTheme="majorHAnsi"/>
                <w:color w:val="1F497D"/>
              </w:rPr>
            </w:pPr>
            <w:r>
              <w:rPr>
                <w:rFonts w:asciiTheme="majorHAnsi" w:hAnsiTheme="majorHAnsi"/>
                <w:color w:val="1F497D"/>
              </w:rPr>
              <w:t>6</w:t>
            </w:r>
          </w:p>
        </w:tc>
        <w:tc>
          <w:tcPr>
            <w:tcW w:w="2880" w:type="dxa"/>
            <w:shd w:val="clear" w:color="auto" w:fill="auto"/>
            <w:vAlign w:val="center"/>
          </w:tcPr>
          <w:p w:rsidR="00326F0A" w:rsidRPr="00D02C73" w:rsidRDefault="005F6804" w:rsidP="0055542D">
            <w:pPr>
              <w:spacing w:line="300" w:lineRule="auto"/>
              <w:rPr>
                <w:color w:val="1F4E79" w:themeColor="accent1" w:themeShade="80"/>
              </w:rPr>
            </w:pPr>
            <w:r w:rsidRPr="00D02C73">
              <w:rPr>
                <w:color w:val="1F4E79" w:themeColor="accent1" w:themeShade="80"/>
              </w:rPr>
              <w:t>Symposium on Wrongful Convictions and Symposium on Money Bail</w:t>
            </w:r>
          </w:p>
        </w:tc>
        <w:tc>
          <w:tcPr>
            <w:tcW w:w="1710" w:type="dxa"/>
            <w:shd w:val="clear" w:color="auto" w:fill="auto"/>
            <w:vAlign w:val="center"/>
          </w:tcPr>
          <w:p w:rsidR="00326F0A" w:rsidRPr="00D02C73" w:rsidRDefault="005F6804" w:rsidP="0055542D">
            <w:pPr>
              <w:spacing w:line="300" w:lineRule="auto"/>
              <w:rPr>
                <w:color w:val="1F4E79" w:themeColor="accent1" w:themeShade="80"/>
              </w:rPr>
            </w:pPr>
            <w:r w:rsidRPr="00D02C73">
              <w:rPr>
                <w:color w:val="1F4E79" w:themeColor="accent1" w:themeShade="80"/>
              </w:rPr>
              <w:t>Law</w:t>
            </w:r>
          </w:p>
        </w:tc>
        <w:tc>
          <w:tcPr>
            <w:tcW w:w="1620" w:type="dxa"/>
            <w:shd w:val="clear" w:color="auto" w:fill="auto"/>
            <w:vAlign w:val="center"/>
          </w:tcPr>
          <w:p w:rsidR="00326F0A" w:rsidRPr="00D02C73" w:rsidRDefault="00326F0A" w:rsidP="0055542D">
            <w:pPr>
              <w:spacing w:line="300" w:lineRule="auto"/>
              <w:jc w:val="center"/>
              <w:rPr>
                <w:color w:val="1F4E79" w:themeColor="accent1" w:themeShade="80"/>
              </w:rPr>
            </w:pPr>
            <w:r w:rsidRPr="00D02C73">
              <w:rPr>
                <w:color w:val="1F4E79" w:themeColor="accent1" w:themeShade="80"/>
              </w:rPr>
              <w:t>$</w:t>
            </w:r>
            <w:r w:rsidR="005F6804" w:rsidRPr="00D02C73">
              <w:rPr>
                <w:color w:val="1F4E79" w:themeColor="accent1" w:themeShade="80"/>
              </w:rPr>
              <w:t>9,300</w:t>
            </w:r>
          </w:p>
          <w:p w:rsidR="00326F0A" w:rsidRPr="00D02C73" w:rsidRDefault="00326F0A" w:rsidP="0055542D">
            <w:pPr>
              <w:spacing w:line="300" w:lineRule="auto"/>
              <w:jc w:val="center"/>
              <w:rPr>
                <w:color w:val="1F4E79" w:themeColor="accent1" w:themeShade="80"/>
              </w:rPr>
            </w:pPr>
          </w:p>
        </w:tc>
        <w:tc>
          <w:tcPr>
            <w:tcW w:w="4590" w:type="dxa"/>
            <w:vAlign w:val="center"/>
          </w:tcPr>
          <w:p w:rsidR="00326F0A" w:rsidRPr="00D02C73" w:rsidRDefault="00D02C73" w:rsidP="0055542D">
            <w:pPr>
              <w:spacing w:line="300" w:lineRule="auto"/>
              <w:rPr>
                <w:color w:val="1F497D"/>
              </w:rPr>
            </w:pPr>
            <w:r>
              <w:rPr>
                <w:color w:val="1F497D"/>
              </w:rPr>
              <w:t>These two symposia will be held in fall 2016.</w:t>
            </w:r>
          </w:p>
        </w:tc>
      </w:tr>
      <w:tr w:rsidR="00326F0A" w:rsidTr="00B07648">
        <w:trPr>
          <w:trHeight w:val="3245"/>
        </w:trPr>
        <w:tc>
          <w:tcPr>
            <w:tcW w:w="468" w:type="dxa"/>
            <w:vAlign w:val="center"/>
          </w:tcPr>
          <w:p w:rsidR="00326F0A" w:rsidRDefault="00326F0A" w:rsidP="0055542D">
            <w:pPr>
              <w:spacing w:line="300" w:lineRule="auto"/>
              <w:rPr>
                <w:rFonts w:asciiTheme="majorHAnsi" w:hAnsiTheme="majorHAnsi"/>
                <w:color w:val="1F497D"/>
              </w:rPr>
            </w:pPr>
            <w:r>
              <w:rPr>
                <w:rFonts w:asciiTheme="majorHAnsi" w:hAnsiTheme="majorHAnsi"/>
                <w:color w:val="1F497D"/>
              </w:rPr>
              <w:t>7</w:t>
            </w:r>
          </w:p>
        </w:tc>
        <w:tc>
          <w:tcPr>
            <w:tcW w:w="2880" w:type="dxa"/>
            <w:shd w:val="clear" w:color="auto" w:fill="auto"/>
            <w:vAlign w:val="center"/>
          </w:tcPr>
          <w:p w:rsidR="00326F0A" w:rsidRPr="00D02C73" w:rsidRDefault="005F6804" w:rsidP="0055542D">
            <w:pPr>
              <w:spacing w:line="300" w:lineRule="auto"/>
              <w:rPr>
                <w:color w:val="1F4E79" w:themeColor="accent1" w:themeShade="80"/>
              </w:rPr>
            </w:pPr>
            <w:r w:rsidRPr="00D02C73">
              <w:rPr>
                <w:color w:val="1F4E79" w:themeColor="accent1" w:themeShade="80"/>
              </w:rPr>
              <w:t>Freshman Transition Program (FTP)</w:t>
            </w:r>
          </w:p>
        </w:tc>
        <w:tc>
          <w:tcPr>
            <w:tcW w:w="1710" w:type="dxa"/>
            <w:shd w:val="clear" w:color="auto" w:fill="auto"/>
            <w:vAlign w:val="center"/>
          </w:tcPr>
          <w:p w:rsidR="00326F0A" w:rsidRPr="00D02C73" w:rsidRDefault="00326F0A" w:rsidP="0055542D">
            <w:pPr>
              <w:spacing w:line="300" w:lineRule="auto"/>
              <w:rPr>
                <w:color w:val="1F4E79" w:themeColor="accent1" w:themeShade="80"/>
              </w:rPr>
            </w:pPr>
          </w:p>
        </w:tc>
        <w:tc>
          <w:tcPr>
            <w:tcW w:w="1620" w:type="dxa"/>
            <w:shd w:val="clear" w:color="auto" w:fill="auto"/>
            <w:vAlign w:val="center"/>
          </w:tcPr>
          <w:p w:rsidR="00326F0A" w:rsidRPr="00D02C73" w:rsidRDefault="00326F0A" w:rsidP="005F6804">
            <w:pPr>
              <w:spacing w:line="300" w:lineRule="auto"/>
              <w:jc w:val="center"/>
              <w:rPr>
                <w:color w:val="1F4E79" w:themeColor="accent1" w:themeShade="80"/>
              </w:rPr>
            </w:pPr>
            <w:r w:rsidRPr="00D02C73">
              <w:rPr>
                <w:color w:val="1F4E79" w:themeColor="accent1" w:themeShade="80"/>
              </w:rPr>
              <w:t>$</w:t>
            </w:r>
            <w:r w:rsidR="005F6804" w:rsidRPr="00D02C73">
              <w:rPr>
                <w:color w:val="1F4E79" w:themeColor="accent1" w:themeShade="80"/>
              </w:rPr>
              <w:t>17,100</w:t>
            </w:r>
          </w:p>
        </w:tc>
        <w:tc>
          <w:tcPr>
            <w:tcW w:w="4590" w:type="dxa"/>
            <w:vAlign w:val="center"/>
          </w:tcPr>
          <w:p w:rsidR="00326F0A" w:rsidRPr="00B07648" w:rsidRDefault="00D02C73" w:rsidP="00D02C73">
            <w:pPr>
              <w:autoSpaceDE w:val="0"/>
              <w:autoSpaceDN w:val="0"/>
              <w:adjustRightInd w:val="0"/>
              <w:rPr>
                <w:rFonts w:ascii="Calibri" w:hAnsi="Calibri" w:cs="Calibri"/>
              </w:rPr>
            </w:pPr>
            <w:r w:rsidRPr="00B07648">
              <w:rPr>
                <w:rFonts w:ascii="Calibri" w:hAnsi="Calibri" w:cs="Calibri"/>
                <w:color w:val="1F4E79" w:themeColor="accent1" w:themeShade="80"/>
              </w:rPr>
              <w:t>The new Freshman Transition Program is in partnership with the Community College of Baltimore County (CCBC) for fall 2016. This will enable select UB applicants to be enrolled initially as CCBC students. After two semesters, and having achieved a 2.5 GPA or greater, these students would be automatically admitted as freshman transfer students.  Students will be charged students’ fees, and FFE funding will cover half the expense of these fees. The target enrollment is at least 30 students.</w:t>
            </w:r>
          </w:p>
        </w:tc>
      </w:tr>
      <w:tr w:rsidR="00381991" w:rsidTr="0055542D">
        <w:trPr>
          <w:trHeight w:val="1292"/>
        </w:trPr>
        <w:tc>
          <w:tcPr>
            <w:tcW w:w="468" w:type="dxa"/>
            <w:vAlign w:val="center"/>
          </w:tcPr>
          <w:p w:rsidR="00381991" w:rsidRDefault="00381991" w:rsidP="0055542D">
            <w:pPr>
              <w:spacing w:line="300" w:lineRule="auto"/>
              <w:rPr>
                <w:rFonts w:asciiTheme="majorHAnsi" w:hAnsiTheme="majorHAnsi"/>
                <w:color w:val="1F497D"/>
              </w:rPr>
            </w:pPr>
            <w:r>
              <w:rPr>
                <w:rFonts w:asciiTheme="majorHAnsi" w:hAnsiTheme="majorHAnsi"/>
                <w:color w:val="1F497D"/>
              </w:rPr>
              <w:t>8</w:t>
            </w:r>
          </w:p>
        </w:tc>
        <w:tc>
          <w:tcPr>
            <w:tcW w:w="2880" w:type="dxa"/>
            <w:shd w:val="clear" w:color="auto" w:fill="auto"/>
            <w:vAlign w:val="center"/>
          </w:tcPr>
          <w:p w:rsidR="00381991" w:rsidRPr="00381991" w:rsidRDefault="00381991" w:rsidP="0055542D">
            <w:pPr>
              <w:spacing w:line="300" w:lineRule="auto"/>
              <w:rPr>
                <w:color w:val="1F4E79" w:themeColor="accent1" w:themeShade="80"/>
              </w:rPr>
            </w:pPr>
            <w:r w:rsidRPr="00381991">
              <w:rPr>
                <w:color w:val="1F497D"/>
              </w:rPr>
              <w:t>Synchronous Learning Support</w:t>
            </w:r>
          </w:p>
        </w:tc>
        <w:tc>
          <w:tcPr>
            <w:tcW w:w="1710" w:type="dxa"/>
            <w:shd w:val="clear" w:color="auto" w:fill="auto"/>
            <w:vAlign w:val="center"/>
          </w:tcPr>
          <w:p w:rsidR="00381991" w:rsidRPr="00D02C73" w:rsidRDefault="00A1792E" w:rsidP="0055542D">
            <w:pPr>
              <w:spacing w:line="300" w:lineRule="auto"/>
              <w:rPr>
                <w:color w:val="1F4E79" w:themeColor="accent1" w:themeShade="80"/>
              </w:rPr>
            </w:pPr>
            <w:r>
              <w:rPr>
                <w:color w:val="1F4E79" w:themeColor="accent1" w:themeShade="80"/>
              </w:rPr>
              <w:t>OTS</w:t>
            </w:r>
          </w:p>
        </w:tc>
        <w:tc>
          <w:tcPr>
            <w:tcW w:w="1620" w:type="dxa"/>
            <w:shd w:val="clear" w:color="auto" w:fill="auto"/>
            <w:vAlign w:val="center"/>
          </w:tcPr>
          <w:p w:rsidR="00381991" w:rsidRPr="00D02C73" w:rsidRDefault="00A1792E" w:rsidP="005F6804">
            <w:pPr>
              <w:spacing w:line="300" w:lineRule="auto"/>
              <w:jc w:val="center"/>
              <w:rPr>
                <w:color w:val="1F4E79" w:themeColor="accent1" w:themeShade="80"/>
              </w:rPr>
            </w:pPr>
            <w:r>
              <w:rPr>
                <w:color w:val="1F4E79" w:themeColor="accent1" w:themeShade="80"/>
              </w:rPr>
              <w:t>$10,000</w:t>
            </w:r>
          </w:p>
        </w:tc>
        <w:tc>
          <w:tcPr>
            <w:tcW w:w="4590" w:type="dxa"/>
            <w:vAlign w:val="center"/>
          </w:tcPr>
          <w:p w:rsidR="00381991" w:rsidRPr="00B07648" w:rsidRDefault="00381991" w:rsidP="00381991">
            <w:pPr>
              <w:autoSpaceDE w:val="0"/>
              <w:autoSpaceDN w:val="0"/>
              <w:adjustRightInd w:val="0"/>
              <w:rPr>
                <w:rFonts w:ascii="Calibri" w:hAnsi="Calibri" w:cs="Calibri"/>
                <w:color w:val="1F4E79" w:themeColor="accent1" w:themeShade="80"/>
              </w:rPr>
            </w:pPr>
            <w:r w:rsidRPr="00B07648">
              <w:rPr>
                <w:rFonts w:ascii="Calibri" w:hAnsi="Calibri" w:cs="Calibri"/>
                <w:color w:val="1F4E79" w:themeColor="accent1" w:themeShade="80"/>
              </w:rPr>
              <w:t>The proposal is to conduct a pilot of up to 20 faculty to leverage a new tool, Zoom, for synchronous instruction, learning and collaboration in their in‐person and hybrid courses. Funding will support students to assist faculty with Zoom.</w:t>
            </w:r>
          </w:p>
          <w:p w:rsidR="00381991" w:rsidRPr="00D02C73" w:rsidRDefault="00381991" w:rsidP="00381991">
            <w:pPr>
              <w:autoSpaceDE w:val="0"/>
              <w:autoSpaceDN w:val="0"/>
              <w:adjustRightInd w:val="0"/>
              <w:rPr>
                <w:rFonts w:ascii="Calibri" w:hAnsi="Calibri" w:cs="Calibri"/>
                <w:color w:val="1F4E79" w:themeColor="accent1" w:themeShade="80"/>
                <w:sz w:val="24"/>
                <w:szCs w:val="24"/>
              </w:rPr>
            </w:pPr>
          </w:p>
        </w:tc>
      </w:tr>
      <w:tr w:rsidR="00381991" w:rsidTr="00A41FCF">
        <w:trPr>
          <w:trHeight w:val="1763"/>
        </w:trPr>
        <w:tc>
          <w:tcPr>
            <w:tcW w:w="468" w:type="dxa"/>
            <w:vAlign w:val="center"/>
          </w:tcPr>
          <w:p w:rsidR="00381991" w:rsidRDefault="00381991" w:rsidP="0055542D">
            <w:pPr>
              <w:spacing w:line="300" w:lineRule="auto"/>
              <w:rPr>
                <w:rFonts w:asciiTheme="majorHAnsi" w:hAnsiTheme="majorHAnsi"/>
                <w:color w:val="1F497D"/>
              </w:rPr>
            </w:pPr>
            <w:r>
              <w:rPr>
                <w:rFonts w:asciiTheme="majorHAnsi" w:hAnsiTheme="majorHAnsi"/>
                <w:color w:val="1F497D"/>
              </w:rPr>
              <w:lastRenderedPageBreak/>
              <w:t>9</w:t>
            </w:r>
          </w:p>
        </w:tc>
        <w:tc>
          <w:tcPr>
            <w:tcW w:w="2880" w:type="dxa"/>
            <w:shd w:val="clear" w:color="auto" w:fill="auto"/>
            <w:vAlign w:val="center"/>
          </w:tcPr>
          <w:p w:rsidR="00381991" w:rsidRPr="00381991" w:rsidRDefault="00381991" w:rsidP="0055542D">
            <w:pPr>
              <w:spacing w:line="300" w:lineRule="auto"/>
              <w:rPr>
                <w:color w:val="1F4E79" w:themeColor="accent1" w:themeShade="80"/>
              </w:rPr>
            </w:pPr>
            <w:r w:rsidRPr="00381991">
              <w:rPr>
                <w:color w:val="1F4E79" w:themeColor="accent1" w:themeShade="80"/>
              </w:rPr>
              <w:t>Use of Force Judgement Simulator</w:t>
            </w:r>
          </w:p>
        </w:tc>
        <w:tc>
          <w:tcPr>
            <w:tcW w:w="1710" w:type="dxa"/>
            <w:shd w:val="clear" w:color="auto" w:fill="auto"/>
            <w:vAlign w:val="center"/>
          </w:tcPr>
          <w:p w:rsidR="00381991" w:rsidRPr="00D02C73" w:rsidRDefault="00A1792E" w:rsidP="0055542D">
            <w:pPr>
              <w:spacing w:line="300" w:lineRule="auto"/>
              <w:rPr>
                <w:color w:val="1F4E79" w:themeColor="accent1" w:themeShade="80"/>
              </w:rPr>
            </w:pPr>
            <w:r>
              <w:rPr>
                <w:color w:val="1F4E79" w:themeColor="accent1" w:themeShade="80"/>
              </w:rPr>
              <w:t>UB Police Department</w:t>
            </w:r>
          </w:p>
        </w:tc>
        <w:tc>
          <w:tcPr>
            <w:tcW w:w="1620" w:type="dxa"/>
            <w:shd w:val="clear" w:color="auto" w:fill="auto"/>
            <w:vAlign w:val="center"/>
          </w:tcPr>
          <w:p w:rsidR="00381991" w:rsidRPr="00D02C73" w:rsidRDefault="00A1792E" w:rsidP="005F6804">
            <w:pPr>
              <w:spacing w:line="300" w:lineRule="auto"/>
              <w:jc w:val="center"/>
              <w:rPr>
                <w:color w:val="1F4E79" w:themeColor="accent1" w:themeShade="80"/>
              </w:rPr>
            </w:pPr>
            <w:r>
              <w:rPr>
                <w:color w:val="1F4E79" w:themeColor="accent1" w:themeShade="80"/>
              </w:rPr>
              <w:t>$14,500</w:t>
            </w:r>
          </w:p>
        </w:tc>
        <w:tc>
          <w:tcPr>
            <w:tcW w:w="4590" w:type="dxa"/>
            <w:vAlign w:val="center"/>
          </w:tcPr>
          <w:p w:rsidR="00381991" w:rsidRPr="00B07648" w:rsidRDefault="00381991" w:rsidP="00A41FCF">
            <w:pPr>
              <w:autoSpaceDE w:val="0"/>
              <w:autoSpaceDN w:val="0"/>
              <w:adjustRightInd w:val="0"/>
              <w:rPr>
                <w:rFonts w:cs="Times New Roman"/>
                <w:color w:val="1F4E79" w:themeColor="accent1" w:themeShade="80"/>
              </w:rPr>
            </w:pPr>
            <w:r w:rsidRPr="00B07648">
              <w:rPr>
                <w:rFonts w:cs="Times New Roman"/>
                <w:color w:val="1F4E79" w:themeColor="accent1" w:themeShade="80"/>
              </w:rPr>
              <w:t>The Use of Force Judgement Simulator</w:t>
            </w:r>
            <w:r w:rsidR="00A41FCF" w:rsidRPr="00B07648">
              <w:rPr>
                <w:rFonts w:cs="Times New Roman"/>
                <w:color w:val="1F4E79" w:themeColor="accent1" w:themeShade="80"/>
              </w:rPr>
              <w:t xml:space="preserve"> will enhance training for UBPD officers and also improve</w:t>
            </w:r>
            <w:r w:rsidRPr="00B07648">
              <w:rPr>
                <w:rFonts w:cs="Times New Roman"/>
                <w:color w:val="1F4E79" w:themeColor="accent1" w:themeShade="80"/>
              </w:rPr>
              <w:t xml:space="preserve"> public safety by instilling </w:t>
            </w:r>
            <w:r w:rsidR="00A41FCF" w:rsidRPr="00B07648">
              <w:rPr>
                <w:rFonts w:cs="Times New Roman"/>
                <w:color w:val="1F4E79" w:themeColor="accent1" w:themeShade="80"/>
              </w:rPr>
              <w:t xml:space="preserve">a higher level of </w:t>
            </w:r>
            <w:r w:rsidRPr="00B07648">
              <w:rPr>
                <w:rFonts w:cs="Times New Roman"/>
                <w:color w:val="1F4E79" w:themeColor="accent1" w:themeShade="80"/>
              </w:rPr>
              <w:t>accuracy in accessing all elements of challenging circumstances and</w:t>
            </w:r>
            <w:r w:rsidR="00A41FCF" w:rsidRPr="00B07648">
              <w:rPr>
                <w:rFonts w:cs="Times New Roman"/>
                <w:color w:val="1F4E79" w:themeColor="accent1" w:themeShade="80"/>
              </w:rPr>
              <w:t xml:space="preserve"> rapidly evolving situations to </w:t>
            </w:r>
            <w:r w:rsidRPr="00B07648">
              <w:rPr>
                <w:rFonts w:cs="Times New Roman"/>
                <w:color w:val="1F4E79" w:themeColor="accent1" w:themeShade="80"/>
              </w:rPr>
              <w:t>include de-escalation practices.</w:t>
            </w:r>
          </w:p>
        </w:tc>
      </w:tr>
      <w:tr w:rsidR="00381991" w:rsidTr="00A41FCF">
        <w:trPr>
          <w:trHeight w:val="953"/>
        </w:trPr>
        <w:tc>
          <w:tcPr>
            <w:tcW w:w="468" w:type="dxa"/>
            <w:vAlign w:val="center"/>
          </w:tcPr>
          <w:p w:rsidR="00381991" w:rsidRDefault="00381991" w:rsidP="0055542D">
            <w:pPr>
              <w:spacing w:line="300" w:lineRule="auto"/>
              <w:rPr>
                <w:rFonts w:asciiTheme="majorHAnsi" w:hAnsiTheme="majorHAnsi"/>
                <w:color w:val="1F497D"/>
              </w:rPr>
            </w:pPr>
            <w:r>
              <w:rPr>
                <w:rFonts w:asciiTheme="majorHAnsi" w:hAnsiTheme="majorHAnsi"/>
                <w:color w:val="1F497D"/>
              </w:rPr>
              <w:t>10</w:t>
            </w:r>
          </w:p>
        </w:tc>
        <w:tc>
          <w:tcPr>
            <w:tcW w:w="2880" w:type="dxa"/>
            <w:shd w:val="clear" w:color="auto" w:fill="auto"/>
            <w:vAlign w:val="center"/>
          </w:tcPr>
          <w:p w:rsidR="00381991" w:rsidRPr="00381991" w:rsidRDefault="00381991" w:rsidP="0055542D">
            <w:pPr>
              <w:spacing w:line="300" w:lineRule="auto"/>
              <w:rPr>
                <w:color w:val="1F4E79" w:themeColor="accent1" w:themeShade="80"/>
              </w:rPr>
            </w:pPr>
            <w:r w:rsidRPr="00381991">
              <w:rPr>
                <w:color w:val="1F497D"/>
              </w:rPr>
              <w:t>Foundational Math Workbook for Algebra</w:t>
            </w:r>
          </w:p>
        </w:tc>
        <w:tc>
          <w:tcPr>
            <w:tcW w:w="1710" w:type="dxa"/>
            <w:shd w:val="clear" w:color="auto" w:fill="auto"/>
            <w:vAlign w:val="center"/>
          </w:tcPr>
          <w:p w:rsidR="00381991" w:rsidRPr="00D02C73" w:rsidRDefault="00A1792E" w:rsidP="0055542D">
            <w:pPr>
              <w:spacing w:line="300" w:lineRule="auto"/>
              <w:rPr>
                <w:color w:val="1F4E79" w:themeColor="accent1" w:themeShade="80"/>
              </w:rPr>
            </w:pPr>
            <w:r>
              <w:rPr>
                <w:color w:val="1F4E79" w:themeColor="accent1" w:themeShade="80"/>
              </w:rPr>
              <w:t>CAS</w:t>
            </w:r>
          </w:p>
        </w:tc>
        <w:tc>
          <w:tcPr>
            <w:tcW w:w="1620" w:type="dxa"/>
            <w:shd w:val="clear" w:color="auto" w:fill="auto"/>
            <w:vAlign w:val="center"/>
          </w:tcPr>
          <w:p w:rsidR="00381991" w:rsidRPr="00D02C73" w:rsidRDefault="00A1792E" w:rsidP="005F6804">
            <w:pPr>
              <w:spacing w:line="300" w:lineRule="auto"/>
              <w:jc w:val="center"/>
              <w:rPr>
                <w:color w:val="1F4E79" w:themeColor="accent1" w:themeShade="80"/>
              </w:rPr>
            </w:pPr>
            <w:r>
              <w:rPr>
                <w:color w:val="1F4E79" w:themeColor="accent1" w:themeShade="80"/>
              </w:rPr>
              <w:t>$8,000</w:t>
            </w:r>
          </w:p>
        </w:tc>
        <w:tc>
          <w:tcPr>
            <w:tcW w:w="4590" w:type="dxa"/>
            <w:vAlign w:val="center"/>
          </w:tcPr>
          <w:p w:rsidR="00381991" w:rsidRPr="00B07648" w:rsidRDefault="00A41FCF" w:rsidP="00A41FCF">
            <w:pPr>
              <w:autoSpaceDE w:val="0"/>
              <w:autoSpaceDN w:val="0"/>
              <w:adjustRightInd w:val="0"/>
              <w:rPr>
                <w:rFonts w:cs="Calibri"/>
                <w:color w:val="1F4E79" w:themeColor="accent1" w:themeShade="80"/>
                <w:sz w:val="24"/>
                <w:szCs w:val="24"/>
              </w:rPr>
            </w:pPr>
            <w:r w:rsidRPr="00B07648">
              <w:rPr>
                <w:color w:val="1F4E79" w:themeColor="accent1" w:themeShade="80"/>
              </w:rPr>
              <w:t xml:space="preserve">By increasing pass rates in math courses, this workbook will help more UB students graduate. </w:t>
            </w:r>
          </w:p>
        </w:tc>
      </w:tr>
      <w:tr w:rsidR="00381991" w:rsidTr="00A41FCF">
        <w:trPr>
          <w:trHeight w:val="1097"/>
        </w:trPr>
        <w:tc>
          <w:tcPr>
            <w:tcW w:w="468" w:type="dxa"/>
            <w:vAlign w:val="center"/>
          </w:tcPr>
          <w:p w:rsidR="00381991" w:rsidRDefault="00381991" w:rsidP="0055542D">
            <w:pPr>
              <w:spacing w:line="300" w:lineRule="auto"/>
              <w:rPr>
                <w:rFonts w:asciiTheme="majorHAnsi" w:hAnsiTheme="majorHAnsi"/>
                <w:color w:val="1F497D"/>
              </w:rPr>
            </w:pPr>
            <w:r>
              <w:rPr>
                <w:rFonts w:asciiTheme="majorHAnsi" w:hAnsiTheme="majorHAnsi"/>
                <w:color w:val="1F497D"/>
              </w:rPr>
              <w:t>11</w:t>
            </w:r>
          </w:p>
        </w:tc>
        <w:tc>
          <w:tcPr>
            <w:tcW w:w="2880" w:type="dxa"/>
            <w:shd w:val="clear" w:color="auto" w:fill="auto"/>
            <w:vAlign w:val="center"/>
          </w:tcPr>
          <w:p w:rsidR="00381991" w:rsidRPr="00381991" w:rsidRDefault="00381991" w:rsidP="0055542D">
            <w:pPr>
              <w:spacing w:line="300" w:lineRule="auto"/>
              <w:rPr>
                <w:color w:val="1F4E79" w:themeColor="accent1" w:themeShade="80"/>
              </w:rPr>
            </w:pPr>
            <w:r w:rsidRPr="00381991">
              <w:rPr>
                <w:color w:val="1F497D"/>
              </w:rPr>
              <w:t>Community Development Fellows</w:t>
            </w:r>
          </w:p>
        </w:tc>
        <w:tc>
          <w:tcPr>
            <w:tcW w:w="1710" w:type="dxa"/>
            <w:shd w:val="clear" w:color="auto" w:fill="auto"/>
            <w:vAlign w:val="center"/>
          </w:tcPr>
          <w:p w:rsidR="00381991" w:rsidRPr="00D02C73" w:rsidRDefault="00AB2707" w:rsidP="0055542D">
            <w:pPr>
              <w:spacing w:line="300" w:lineRule="auto"/>
              <w:rPr>
                <w:color w:val="1F4E79" w:themeColor="accent1" w:themeShade="80"/>
              </w:rPr>
            </w:pPr>
            <w:r>
              <w:rPr>
                <w:color w:val="1F4E79" w:themeColor="accent1" w:themeShade="80"/>
              </w:rPr>
              <w:t>CPA</w:t>
            </w:r>
          </w:p>
        </w:tc>
        <w:tc>
          <w:tcPr>
            <w:tcW w:w="1620" w:type="dxa"/>
            <w:shd w:val="clear" w:color="auto" w:fill="auto"/>
            <w:vAlign w:val="center"/>
          </w:tcPr>
          <w:p w:rsidR="00381991" w:rsidRPr="00D02C73" w:rsidRDefault="00A1792E" w:rsidP="005F6804">
            <w:pPr>
              <w:spacing w:line="300" w:lineRule="auto"/>
              <w:jc w:val="center"/>
              <w:rPr>
                <w:color w:val="1F4E79" w:themeColor="accent1" w:themeShade="80"/>
              </w:rPr>
            </w:pPr>
            <w:r>
              <w:rPr>
                <w:color w:val="1F4E79" w:themeColor="accent1" w:themeShade="80"/>
              </w:rPr>
              <w:t>$10,000</w:t>
            </w:r>
          </w:p>
        </w:tc>
        <w:tc>
          <w:tcPr>
            <w:tcW w:w="4590" w:type="dxa"/>
            <w:vAlign w:val="center"/>
          </w:tcPr>
          <w:p w:rsidR="00381991" w:rsidRPr="000917D5" w:rsidRDefault="00A41FCF" w:rsidP="00A41FCF">
            <w:pPr>
              <w:autoSpaceDE w:val="0"/>
              <w:autoSpaceDN w:val="0"/>
              <w:adjustRightInd w:val="0"/>
              <w:rPr>
                <w:rFonts w:ascii="Calibri" w:hAnsi="Calibri" w:cs="Calibri"/>
                <w:color w:val="1F4E79" w:themeColor="accent1" w:themeShade="80"/>
              </w:rPr>
            </w:pPr>
            <w:r w:rsidRPr="000917D5">
              <w:rPr>
                <w:rFonts w:ascii="Calibri" w:hAnsi="Calibri" w:cs="Calibri"/>
                <w:color w:val="1F4E79" w:themeColor="accent1" w:themeShade="80"/>
              </w:rPr>
              <w:t>Funding will support continuation of the existing program until additional external funding is awarded.</w:t>
            </w:r>
          </w:p>
        </w:tc>
      </w:tr>
      <w:tr w:rsidR="00381991" w:rsidTr="00A41FCF">
        <w:trPr>
          <w:trHeight w:val="1070"/>
        </w:trPr>
        <w:tc>
          <w:tcPr>
            <w:tcW w:w="468" w:type="dxa"/>
            <w:vAlign w:val="center"/>
          </w:tcPr>
          <w:p w:rsidR="00381991" w:rsidRDefault="00381991" w:rsidP="0055542D">
            <w:pPr>
              <w:spacing w:line="300" w:lineRule="auto"/>
              <w:rPr>
                <w:rFonts w:asciiTheme="majorHAnsi" w:hAnsiTheme="majorHAnsi"/>
                <w:color w:val="1F497D"/>
              </w:rPr>
            </w:pPr>
            <w:r>
              <w:rPr>
                <w:rFonts w:asciiTheme="majorHAnsi" w:hAnsiTheme="majorHAnsi"/>
                <w:color w:val="1F497D"/>
              </w:rPr>
              <w:t>12</w:t>
            </w:r>
          </w:p>
        </w:tc>
        <w:tc>
          <w:tcPr>
            <w:tcW w:w="2880" w:type="dxa"/>
            <w:shd w:val="clear" w:color="auto" w:fill="auto"/>
            <w:vAlign w:val="center"/>
          </w:tcPr>
          <w:p w:rsidR="00381991" w:rsidRPr="00381991" w:rsidRDefault="00381991" w:rsidP="0055542D">
            <w:pPr>
              <w:spacing w:line="300" w:lineRule="auto"/>
              <w:rPr>
                <w:color w:val="1F4E79" w:themeColor="accent1" w:themeShade="80"/>
              </w:rPr>
            </w:pPr>
            <w:r w:rsidRPr="00381991">
              <w:rPr>
                <w:color w:val="1F497D"/>
              </w:rPr>
              <w:t>SDE Audio Visual Research Lab</w:t>
            </w:r>
          </w:p>
        </w:tc>
        <w:tc>
          <w:tcPr>
            <w:tcW w:w="1710" w:type="dxa"/>
            <w:shd w:val="clear" w:color="auto" w:fill="auto"/>
            <w:vAlign w:val="center"/>
          </w:tcPr>
          <w:p w:rsidR="00381991" w:rsidRPr="00D02C73" w:rsidRDefault="00AB2707" w:rsidP="0055542D">
            <w:pPr>
              <w:spacing w:line="300" w:lineRule="auto"/>
              <w:rPr>
                <w:color w:val="1F4E79" w:themeColor="accent1" w:themeShade="80"/>
              </w:rPr>
            </w:pPr>
            <w:r>
              <w:rPr>
                <w:color w:val="1F4E79" w:themeColor="accent1" w:themeShade="80"/>
              </w:rPr>
              <w:t>CAS</w:t>
            </w:r>
          </w:p>
        </w:tc>
        <w:tc>
          <w:tcPr>
            <w:tcW w:w="1620" w:type="dxa"/>
            <w:shd w:val="clear" w:color="auto" w:fill="auto"/>
            <w:vAlign w:val="center"/>
          </w:tcPr>
          <w:p w:rsidR="00381991" w:rsidRPr="00D02C73" w:rsidRDefault="00A1792E" w:rsidP="005F6804">
            <w:pPr>
              <w:spacing w:line="300" w:lineRule="auto"/>
              <w:jc w:val="center"/>
              <w:rPr>
                <w:color w:val="1F4E79" w:themeColor="accent1" w:themeShade="80"/>
              </w:rPr>
            </w:pPr>
            <w:r>
              <w:rPr>
                <w:color w:val="1F4E79" w:themeColor="accent1" w:themeShade="80"/>
              </w:rPr>
              <w:t>$25,000</w:t>
            </w:r>
          </w:p>
        </w:tc>
        <w:tc>
          <w:tcPr>
            <w:tcW w:w="4590" w:type="dxa"/>
            <w:vAlign w:val="center"/>
          </w:tcPr>
          <w:p w:rsidR="00381991" w:rsidRPr="00D02C73" w:rsidRDefault="00A41FCF" w:rsidP="00D02C73">
            <w:pPr>
              <w:autoSpaceDE w:val="0"/>
              <w:autoSpaceDN w:val="0"/>
              <w:adjustRightInd w:val="0"/>
              <w:rPr>
                <w:rFonts w:ascii="Calibri" w:hAnsi="Calibri" w:cs="Calibri"/>
                <w:color w:val="1F4E79" w:themeColor="accent1" w:themeShade="80"/>
                <w:sz w:val="24"/>
                <w:szCs w:val="24"/>
              </w:rPr>
            </w:pPr>
            <w:r w:rsidRPr="00B07648">
              <w:rPr>
                <w:color w:val="1F4E79" w:themeColor="accent1" w:themeShade="80"/>
              </w:rPr>
              <w:t>This project will impact a significant number of UB students and create a valuable learning experience.</w:t>
            </w:r>
          </w:p>
        </w:tc>
      </w:tr>
      <w:tr w:rsidR="00381991" w:rsidTr="00A41FCF">
        <w:trPr>
          <w:trHeight w:val="1070"/>
        </w:trPr>
        <w:tc>
          <w:tcPr>
            <w:tcW w:w="468" w:type="dxa"/>
            <w:vAlign w:val="center"/>
          </w:tcPr>
          <w:p w:rsidR="00381991" w:rsidRDefault="00381991" w:rsidP="0055542D">
            <w:pPr>
              <w:spacing w:line="300" w:lineRule="auto"/>
              <w:rPr>
                <w:rFonts w:asciiTheme="majorHAnsi" w:hAnsiTheme="majorHAnsi"/>
                <w:color w:val="1F497D"/>
              </w:rPr>
            </w:pPr>
            <w:r>
              <w:rPr>
                <w:rFonts w:asciiTheme="majorHAnsi" w:hAnsiTheme="majorHAnsi"/>
                <w:color w:val="1F497D"/>
              </w:rPr>
              <w:t>13</w:t>
            </w:r>
          </w:p>
        </w:tc>
        <w:tc>
          <w:tcPr>
            <w:tcW w:w="2880" w:type="dxa"/>
            <w:shd w:val="clear" w:color="auto" w:fill="auto"/>
            <w:vAlign w:val="center"/>
          </w:tcPr>
          <w:p w:rsidR="00381991" w:rsidRPr="00381991" w:rsidRDefault="00381991" w:rsidP="0055542D">
            <w:pPr>
              <w:spacing w:line="300" w:lineRule="auto"/>
              <w:rPr>
                <w:color w:val="1F497D"/>
              </w:rPr>
            </w:pPr>
            <w:r w:rsidRPr="00381991">
              <w:rPr>
                <w:color w:val="1F497D"/>
              </w:rPr>
              <w:t>CICL Study Abroad to Greece</w:t>
            </w:r>
          </w:p>
        </w:tc>
        <w:tc>
          <w:tcPr>
            <w:tcW w:w="1710" w:type="dxa"/>
            <w:shd w:val="clear" w:color="auto" w:fill="auto"/>
            <w:vAlign w:val="center"/>
          </w:tcPr>
          <w:p w:rsidR="00381991" w:rsidRPr="00D02C73" w:rsidRDefault="00A1792E" w:rsidP="0055542D">
            <w:pPr>
              <w:spacing w:line="300" w:lineRule="auto"/>
              <w:rPr>
                <w:color w:val="1F4E79" w:themeColor="accent1" w:themeShade="80"/>
              </w:rPr>
            </w:pPr>
            <w:r>
              <w:rPr>
                <w:color w:val="1F4E79" w:themeColor="accent1" w:themeShade="80"/>
              </w:rPr>
              <w:t>Law</w:t>
            </w:r>
          </w:p>
        </w:tc>
        <w:tc>
          <w:tcPr>
            <w:tcW w:w="1620" w:type="dxa"/>
            <w:shd w:val="clear" w:color="auto" w:fill="auto"/>
            <w:vAlign w:val="center"/>
          </w:tcPr>
          <w:p w:rsidR="00381991" w:rsidRPr="00D02C73" w:rsidRDefault="00A1792E" w:rsidP="005F6804">
            <w:pPr>
              <w:spacing w:line="300" w:lineRule="auto"/>
              <w:jc w:val="center"/>
              <w:rPr>
                <w:color w:val="1F4E79" w:themeColor="accent1" w:themeShade="80"/>
              </w:rPr>
            </w:pPr>
            <w:r>
              <w:rPr>
                <w:color w:val="1F4E79" w:themeColor="accent1" w:themeShade="80"/>
              </w:rPr>
              <w:t>$10,000</w:t>
            </w:r>
          </w:p>
        </w:tc>
        <w:tc>
          <w:tcPr>
            <w:tcW w:w="4590" w:type="dxa"/>
            <w:vAlign w:val="center"/>
          </w:tcPr>
          <w:p w:rsidR="00381991" w:rsidRPr="00B07648" w:rsidRDefault="00A41FCF" w:rsidP="00D02C73">
            <w:pPr>
              <w:autoSpaceDE w:val="0"/>
              <w:autoSpaceDN w:val="0"/>
              <w:adjustRightInd w:val="0"/>
              <w:rPr>
                <w:rFonts w:ascii="Calibri" w:hAnsi="Calibri" w:cs="Calibri"/>
                <w:color w:val="1F4E79" w:themeColor="accent1" w:themeShade="80"/>
              </w:rPr>
            </w:pPr>
            <w:r w:rsidRPr="00B07648">
              <w:rPr>
                <w:rFonts w:ascii="Calibri" w:hAnsi="Calibri" w:cs="Calibri"/>
                <w:color w:val="1F4E79" w:themeColor="accent1" w:themeShade="80"/>
              </w:rPr>
              <w:t>CICL student fellows will travel to Greece to meet with refugee clients and the lawyers serving them.</w:t>
            </w:r>
          </w:p>
        </w:tc>
      </w:tr>
      <w:tr w:rsidR="00381991" w:rsidTr="00A41FCF">
        <w:trPr>
          <w:trHeight w:val="1025"/>
        </w:trPr>
        <w:tc>
          <w:tcPr>
            <w:tcW w:w="468" w:type="dxa"/>
            <w:vAlign w:val="center"/>
          </w:tcPr>
          <w:p w:rsidR="00381991" w:rsidRDefault="00381991" w:rsidP="0055542D">
            <w:pPr>
              <w:spacing w:line="300" w:lineRule="auto"/>
              <w:rPr>
                <w:rFonts w:asciiTheme="majorHAnsi" w:hAnsiTheme="majorHAnsi"/>
                <w:color w:val="1F497D"/>
              </w:rPr>
            </w:pPr>
            <w:r>
              <w:rPr>
                <w:rFonts w:asciiTheme="majorHAnsi" w:hAnsiTheme="majorHAnsi"/>
                <w:color w:val="1F497D"/>
              </w:rPr>
              <w:t>14</w:t>
            </w:r>
          </w:p>
        </w:tc>
        <w:tc>
          <w:tcPr>
            <w:tcW w:w="2880" w:type="dxa"/>
            <w:shd w:val="clear" w:color="auto" w:fill="auto"/>
            <w:vAlign w:val="center"/>
          </w:tcPr>
          <w:p w:rsidR="00381991" w:rsidRPr="00381991" w:rsidRDefault="00381991" w:rsidP="0055542D">
            <w:pPr>
              <w:spacing w:line="300" w:lineRule="auto"/>
              <w:rPr>
                <w:color w:val="1F497D"/>
              </w:rPr>
            </w:pPr>
            <w:r w:rsidRPr="00381991">
              <w:rPr>
                <w:color w:val="1F497D"/>
              </w:rPr>
              <w:t>Book Proposal</w:t>
            </w:r>
          </w:p>
        </w:tc>
        <w:tc>
          <w:tcPr>
            <w:tcW w:w="1710" w:type="dxa"/>
            <w:shd w:val="clear" w:color="auto" w:fill="auto"/>
            <w:vAlign w:val="center"/>
          </w:tcPr>
          <w:p w:rsidR="00381991" w:rsidRPr="00D02C73" w:rsidRDefault="00AB2707" w:rsidP="0055542D">
            <w:pPr>
              <w:spacing w:line="300" w:lineRule="auto"/>
              <w:rPr>
                <w:color w:val="1F4E79" w:themeColor="accent1" w:themeShade="80"/>
              </w:rPr>
            </w:pPr>
            <w:r>
              <w:rPr>
                <w:color w:val="1F4E79" w:themeColor="accent1" w:themeShade="80"/>
              </w:rPr>
              <w:t>CAS</w:t>
            </w:r>
          </w:p>
        </w:tc>
        <w:tc>
          <w:tcPr>
            <w:tcW w:w="1620" w:type="dxa"/>
            <w:shd w:val="clear" w:color="auto" w:fill="auto"/>
            <w:vAlign w:val="center"/>
          </w:tcPr>
          <w:p w:rsidR="00381991" w:rsidRPr="00D02C73" w:rsidRDefault="00A1792E" w:rsidP="005F6804">
            <w:pPr>
              <w:spacing w:line="300" w:lineRule="auto"/>
              <w:jc w:val="center"/>
              <w:rPr>
                <w:color w:val="1F4E79" w:themeColor="accent1" w:themeShade="80"/>
              </w:rPr>
            </w:pPr>
            <w:r>
              <w:rPr>
                <w:color w:val="1F4E79" w:themeColor="accent1" w:themeShade="80"/>
              </w:rPr>
              <w:t>$3,000</w:t>
            </w:r>
          </w:p>
        </w:tc>
        <w:tc>
          <w:tcPr>
            <w:tcW w:w="4590" w:type="dxa"/>
            <w:vAlign w:val="center"/>
          </w:tcPr>
          <w:p w:rsidR="00381991" w:rsidRPr="00B07648" w:rsidRDefault="00A41FCF" w:rsidP="00D02C73">
            <w:pPr>
              <w:autoSpaceDE w:val="0"/>
              <w:autoSpaceDN w:val="0"/>
              <w:adjustRightInd w:val="0"/>
              <w:rPr>
                <w:rFonts w:ascii="Calibri" w:hAnsi="Calibri" w:cs="Calibri"/>
                <w:color w:val="1F4E79" w:themeColor="accent1" w:themeShade="80"/>
              </w:rPr>
            </w:pPr>
            <w:r w:rsidRPr="00B07648">
              <w:rPr>
                <w:rFonts w:ascii="Calibri" w:hAnsi="Calibri" w:cs="Calibri"/>
                <w:color w:val="1F4E79" w:themeColor="accent1" w:themeShade="80"/>
              </w:rPr>
              <w:t>Funding will support the production of an original monograph on the moral nature and limits of state sovereignty.</w:t>
            </w:r>
          </w:p>
        </w:tc>
      </w:tr>
      <w:tr w:rsidR="00381991" w:rsidTr="0055542D">
        <w:trPr>
          <w:trHeight w:val="1292"/>
        </w:trPr>
        <w:tc>
          <w:tcPr>
            <w:tcW w:w="468" w:type="dxa"/>
            <w:vAlign w:val="center"/>
          </w:tcPr>
          <w:p w:rsidR="00381991" w:rsidRDefault="00381991" w:rsidP="0055542D">
            <w:pPr>
              <w:spacing w:line="300" w:lineRule="auto"/>
              <w:rPr>
                <w:rFonts w:asciiTheme="majorHAnsi" w:hAnsiTheme="majorHAnsi"/>
                <w:color w:val="1F497D"/>
              </w:rPr>
            </w:pPr>
            <w:r>
              <w:rPr>
                <w:rFonts w:asciiTheme="majorHAnsi" w:hAnsiTheme="majorHAnsi"/>
                <w:color w:val="1F497D"/>
              </w:rPr>
              <w:t>15</w:t>
            </w:r>
          </w:p>
        </w:tc>
        <w:tc>
          <w:tcPr>
            <w:tcW w:w="2880" w:type="dxa"/>
            <w:shd w:val="clear" w:color="auto" w:fill="auto"/>
            <w:vAlign w:val="center"/>
          </w:tcPr>
          <w:p w:rsidR="00381991" w:rsidRPr="00381991" w:rsidRDefault="00381991" w:rsidP="0055542D">
            <w:pPr>
              <w:spacing w:line="300" w:lineRule="auto"/>
              <w:rPr>
                <w:color w:val="1F497D"/>
              </w:rPr>
            </w:pPr>
            <w:r w:rsidRPr="00381991">
              <w:rPr>
                <w:color w:val="1F497D"/>
              </w:rPr>
              <w:t>Focus Groups with Unaccompanied Migrant Children and Sponsors</w:t>
            </w:r>
          </w:p>
        </w:tc>
        <w:tc>
          <w:tcPr>
            <w:tcW w:w="1710" w:type="dxa"/>
            <w:shd w:val="clear" w:color="auto" w:fill="auto"/>
            <w:vAlign w:val="center"/>
          </w:tcPr>
          <w:p w:rsidR="00381991" w:rsidRPr="00D02C73" w:rsidRDefault="00AB2707" w:rsidP="0055542D">
            <w:pPr>
              <w:spacing w:line="300" w:lineRule="auto"/>
              <w:rPr>
                <w:color w:val="1F4E79" w:themeColor="accent1" w:themeShade="80"/>
              </w:rPr>
            </w:pPr>
            <w:r>
              <w:rPr>
                <w:color w:val="1F4E79" w:themeColor="accent1" w:themeShade="80"/>
              </w:rPr>
              <w:t>CPA</w:t>
            </w:r>
          </w:p>
        </w:tc>
        <w:tc>
          <w:tcPr>
            <w:tcW w:w="1620" w:type="dxa"/>
            <w:shd w:val="clear" w:color="auto" w:fill="auto"/>
            <w:vAlign w:val="center"/>
          </w:tcPr>
          <w:p w:rsidR="00381991" w:rsidRPr="00D02C73" w:rsidRDefault="004508F7" w:rsidP="005F6804">
            <w:pPr>
              <w:spacing w:line="300" w:lineRule="auto"/>
              <w:jc w:val="center"/>
              <w:rPr>
                <w:color w:val="1F4E79" w:themeColor="accent1" w:themeShade="80"/>
              </w:rPr>
            </w:pPr>
            <w:r>
              <w:rPr>
                <w:color w:val="1F4E79" w:themeColor="accent1" w:themeShade="80"/>
              </w:rPr>
              <w:t>$16,000</w:t>
            </w:r>
          </w:p>
        </w:tc>
        <w:tc>
          <w:tcPr>
            <w:tcW w:w="4590" w:type="dxa"/>
            <w:vAlign w:val="center"/>
          </w:tcPr>
          <w:p w:rsidR="00381991" w:rsidRPr="00B07648" w:rsidRDefault="00A1792E" w:rsidP="00D02C73">
            <w:pPr>
              <w:autoSpaceDE w:val="0"/>
              <w:autoSpaceDN w:val="0"/>
              <w:adjustRightInd w:val="0"/>
              <w:rPr>
                <w:rFonts w:ascii="Calibri" w:hAnsi="Calibri" w:cs="Calibri"/>
                <w:color w:val="1F4E79" w:themeColor="accent1" w:themeShade="80"/>
              </w:rPr>
            </w:pPr>
            <w:r w:rsidRPr="00B07648">
              <w:rPr>
                <w:rFonts w:ascii="Calibri" w:hAnsi="Calibri" w:cs="Calibri"/>
                <w:color w:val="1F4E79" w:themeColor="accent1" w:themeShade="80"/>
              </w:rPr>
              <w:t>This is a qualitative research project with unaccompanied migrant children from Central America and the caregivers they currently live with in the U.S.</w:t>
            </w:r>
          </w:p>
        </w:tc>
      </w:tr>
      <w:tr w:rsidR="00381991" w:rsidTr="00A1792E">
        <w:trPr>
          <w:trHeight w:val="1070"/>
        </w:trPr>
        <w:tc>
          <w:tcPr>
            <w:tcW w:w="468" w:type="dxa"/>
            <w:vAlign w:val="center"/>
          </w:tcPr>
          <w:p w:rsidR="00381991" w:rsidRDefault="00381991" w:rsidP="0055542D">
            <w:pPr>
              <w:spacing w:line="300" w:lineRule="auto"/>
              <w:rPr>
                <w:rFonts w:asciiTheme="majorHAnsi" w:hAnsiTheme="majorHAnsi"/>
                <w:color w:val="1F497D"/>
              </w:rPr>
            </w:pPr>
            <w:r>
              <w:rPr>
                <w:rFonts w:asciiTheme="majorHAnsi" w:hAnsiTheme="majorHAnsi"/>
                <w:color w:val="1F497D"/>
              </w:rPr>
              <w:t>16</w:t>
            </w:r>
          </w:p>
        </w:tc>
        <w:tc>
          <w:tcPr>
            <w:tcW w:w="2880" w:type="dxa"/>
            <w:shd w:val="clear" w:color="auto" w:fill="auto"/>
            <w:vAlign w:val="center"/>
          </w:tcPr>
          <w:p w:rsidR="00381991" w:rsidRPr="00381991" w:rsidRDefault="00381991" w:rsidP="0055542D">
            <w:pPr>
              <w:spacing w:line="300" w:lineRule="auto"/>
              <w:rPr>
                <w:color w:val="1F497D"/>
              </w:rPr>
            </w:pPr>
            <w:r w:rsidRPr="00381991">
              <w:rPr>
                <w:color w:val="1F497D"/>
              </w:rPr>
              <w:t>Faculty Summer Research Stipends</w:t>
            </w:r>
          </w:p>
        </w:tc>
        <w:tc>
          <w:tcPr>
            <w:tcW w:w="1710" w:type="dxa"/>
            <w:shd w:val="clear" w:color="auto" w:fill="auto"/>
            <w:vAlign w:val="center"/>
          </w:tcPr>
          <w:p w:rsidR="00381991" w:rsidRPr="00D02C73" w:rsidRDefault="00AB2707" w:rsidP="0055542D">
            <w:pPr>
              <w:spacing w:line="300" w:lineRule="auto"/>
              <w:rPr>
                <w:color w:val="1F4E79" w:themeColor="accent1" w:themeShade="80"/>
              </w:rPr>
            </w:pPr>
            <w:r>
              <w:rPr>
                <w:color w:val="1F4E79" w:themeColor="accent1" w:themeShade="80"/>
              </w:rPr>
              <w:t>CPA</w:t>
            </w:r>
          </w:p>
        </w:tc>
        <w:tc>
          <w:tcPr>
            <w:tcW w:w="1620" w:type="dxa"/>
            <w:shd w:val="clear" w:color="auto" w:fill="auto"/>
            <w:vAlign w:val="center"/>
          </w:tcPr>
          <w:p w:rsidR="00381991" w:rsidRPr="00D02C73" w:rsidRDefault="00A1792E" w:rsidP="000A74EF">
            <w:pPr>
              <w:spacing w:line="300" w:lineRule="auto"/>
              <w:jc w:val="center"/>
              <w:rPr>
                <w:color w:val="1F4E79" w:themeColor="accent1" w:themeShade="80"/>
              </w:rPr>
            </w:pPr>
            <w:r>
              <w:rPr>
                <w:color w:val="1F4E79" w:themeColor="accent1" w:themeShade="80"/>
              </w:rPr>
              <w:t>$1</w:t>
            </w:r>
            <w:r w:rsidR="000A74EF">
              <w:rPr>
                <w:color w:val="1F4E79" w:themeColor="accent1" w:themeShade="80"/>
              </w:rPr>
              <w:t>5</w:t>
            </w:r>
            <w:r>
              <w:rPr>
                <w:color w:val="1F4E79" w:themeColor="accent1" w:themeShade="80"/>
              </w:rPr>
              <w:t>,000</w:t>
            </w:r>
          </w:p>
        </w:tc>
        <w:tc>
          <w:tcPr>
            <w:tcW w:w="4590" w:type="dxa"/>
            <w:vAlign w:val="center"/>
          </w:tcPr>
          <w:p w:rsidR="00381991" w:rsidRPr="00B07648" w:rsidRDefault="00A1792E" w:rsidP="00D02C73">
            <w:pPr>
              <w:autoSpaceDE w:val="0"/>
              <w:autoSpaceDN w:val="0"/>
              <w:adjustRightInd w:val="0"/>
              <w:rPr>
                <w:rFonts w:ascii="Calibri" w:hAnsi="Calibri" w:cs="Calibri"/>
                <w:color w:val="1F4E79" w:themeColor="accent1" w:themeShade="80"/>
              </w:rPr>
            </w:pPr>
            <w:r w:rsidRPr="00B07648">
              <w:rPr>
                <w:rFonts w:ascii="Calibri" w:hAnsi="Calibri" w:cs="Calibri"/>
                <w:color w:val="1F4E79" w:themeColor="accent1" w:themeShade="80"/>
              </w:rPr>
              <w:t>Funding will support innovative faculty research within the College of Public Affairs during the summer of 2017.</w:t>
            </w:r>
          </w:p>
        </w:tc>
      </w:tr>
      <w:tr w:rsidR="00381991" w:rsidTr="0055542D">
        <w:trPr>
          <w:trHeight w:val="1292"/>
        </w:trPr>
        <w:tc>
          <w:tcPr>
            <w:tcW w:w="468" w:type="dxa"/>
            <w:vAlign w:val="center"/>
          </w:tcPr>
          <w:p w:rsidR="00381991" w:rsidRDefault="00381991" w:rsidP="0055542D">
            <w:pPr>
              <w:spacing w:line="300" w:lineRule="auto"/>
              <w:rPr>
                <w:rFonts w:asciiTheme="majorHAnsi" w:hAnsiTheme="majorHAnsi"/>
                <w:color w:val="1F497D"/>
              </w:rPr>
            </w:pPr>
            <w:r>
              <w:rPr>
                <w:rFonts w:asciiTheme="majorHAnsi" w:hAnsiTheme="majorHAnsi"/>
                <w:color w:val="1F497D"/>
              </w:rPr>
              <w:t>17</w:t>
            </w:r>
          </w:p>
        </w:tc>
        <w:tc>
          <w:tcPr>
            <w:tcW w:w="2880" w:type="dxa"/>
            <w:shd w:val="clear" w:color="auto" w:fill="auto"/>
            <w:vAlign w:val="center"/>
          </w:tcPr>
          <w:p w:rsidR="00381991" w:rsidRPr="00381991" w:rsidRDefault="00381991" w:rsidP="0055542D">
            <w:pPr>
              <w:spacing w:line="300" w:lineRule="auto"/>
              <w:rPr>
                <w:color w:val="1F497D"/>
              </w:rPr>
            </w:pPr>
            <w:r w:rsidRPr="00381991">
              <w:rPr>
                <w:color w:val="1F497D"/>
              </w:rPr>
              <w:t>Staff Development Program</w:t>
            </w:r>
          </w:p>
        </w:tc>
        <w:tc>
          <w:tcPr>
            <w:tcW w:w="1710" w:type="dxa"/>
            <w:shd w:val="clear" w:color="auto" w:fill="auto"/>
            <w:vAlign w:val="center"/>
          </w:tcPr>
          <w:p w:rsidR="00381991" w:rsidRPr="00D02C73" w:rsidRDefault="00A1792E" w:rsidP="0055542D">
            <w:pPr>
              <w:spacing w:line="300" w:lineRule="auto"/>
              <w:rPr>
                <w:color w:val="1F4E79" w:themeColor="accent1" w:themeShade="80"/>
              </w:rPr>
            </w:pPr>
            <w:r>
              <w:rPr>
                <w:color w:val="1F4E79" w:themeColor="accent1" w:themeShade="80"/>
              </w:rPr>
              <w:t>Human Resources</w:t>
            </w:r>
          </w:p>
        </w:tc>
        <w:tc>
          <w:tcPr>
            <w:tcW w:w="1620" w:type="dxa"/>
            <w:shd w:val="clear" w:color="auto" w:fill="auto"/>
            <w:vAlign w:val="center"/>
          </w:tcPr>
          <w:p w:rsidR="00381991" w:rsidRPr="00D02C73" w:rsidRDefault="00A1792E" w:rsidP="005F6804">
            <w:pPr>
              <w:spacing w:line="300" w:lineRule="auto"/>
              <w:jc w:val="center"/>
              <w:rPr>
                <w:color w:val="1F4E79" w:themeColor="accent1" w:themeShade="80"/>
              </w:rPr>
            </w:pPr>
            <w:bookmarkStart w:id="1" w:name="_GoBack"/>
            <w:bookmarkEnd w:id="1"/>
            <w:r>
              <w:rPr>
                <w:color w:val="1F4E79" w:themeColor="accent1" w:themeShade="80"/>
              </w:rPr>
              <w:t>$10,000</w:t>
            </w:r>
          </w:p>
        </w:tc>
        <w:tc>
          <w:tcPr>
            <w:tcW w:w="4590" w:type="dxa"/>
            <w:vAlign w:val="center"/>
          </w:tcPr>
          <w:p w:rsidR="00381991" w:rsidRPr="00D02C73" w:rsidRDefault="00A1792E" w:rsidP="00D02C73">
            <w:pPr>
              <w:autoSpaceDE w:val="0"/>
              <w:autoSpaceDN w:val="0"/>
              <w:adjustRightInd w:val="0"/>
              <w:rPr>
                <w:rFonts w:ascii="Calibri" w:hAnsi="Calibri" w:cs="Calibri"/>
                <w:color w:val="1F4E79" w:themeColor="accent1" w:themeShade="80"/>
                <w:sz w:val="24"/>
                <w:szCs w:val="24"/>
              </w:rPr>
            </w:pPr>
            <w:r w:rsidRPr="00B07648">
              <w:rPr>
                <w:color w:val="1F4E79" w:themeColor="accent1" w:themeShade="80"/>
              </w:rPr>
              <w:t>This program will have an impact on the entire university through enhancing staff skills.</w:t>
            </w:r>
          </w:p>
        </w:tc>
      </w:tr>
      <w:tr w:rsidR="00381991" w:rsidTr="0055542D">
        <w:trPr>
          <w:trHeight w:val="1292"/>
        </w:trPr>
        <w:tc>
          <w:tcPr>
            <w:tcW w:w="468" w:type="dxa"/>
            <w:vAlign w:val="center"/>
          </w:tcPr>
          <w:p w:rsidR="00381991" w:rsidRDefault="00381991" w:rsidP="0055542D">
            <w:pPr>
              <w:spacing w:line="300" w:lineRule="auto"/>
              <w:rPr>
                <w:rFonts w:asciiTheme="majorHAnsi" w:hAnsiTheme="majorHAnsi"/>
                <w:color w:val="1F497D"/>
              </w:rPr>
            </w:pPr>
            <w:r>
              <w:rPr>
                <w:rFonts w:asciiTheme="majorHAnsi" w:hAnsiTheme="majorHAnsi"/>
                <w:color w:val="1F497D"/>
              </w:rPr>
              <w:lastRenderedPageBreak/>
              <w:t>18</w:t>
            </w:r>
          </w:p>
        </w:tc>
        <w:tc>
          <w:tcPr>
            <w:tcW w:w="2880" w:type="dxa"/>
            <w:shd w:val="clear" w:color="auto" w:fill="auto"/>
            <w:vAlign w:val="center"/>
          </w:tcPr>
          <w:p w:rsidR="00381991" w:rsidRPr="00381991" w:rsidRDefault="00381991" w:rsidP="0055542D">
            <w:pPr>
              <w:spacing w:line="300" w:lineRule="auto"/>
              <w:rPr>
                <w:color w:val="1F497D"/>
              </w:rPr>
            </w:pPr>
            <w:r w:rsidRPr="00381991">
              <w:rPr>
                <w:color w:val="1F497D"/>
              </w:rPr>
              <w:t>Peer Success Coaching for Freshman Transition Program</w:t>
            </w:r>
          </w:p>
        </w:tc>
        <w:tc>
          <w:tcPr>
            <w:tcW w:w="1710" w:type="dxa"/>
            <w:shd w:val="clear" w:color="auto" w:fill="auto"/>
            <w:vAlign w:val="center"/>
          </w:tcPr>
          <w:p w:rsidR="00381991" w:rsidRPr="00D02C73" w:rsidRDefault="00AB2707" w:rsidP="0055542D">
            <w:pPr>
              <w:spacing w:line="300" w:lineRule="auto"/>
              <w:rPr>
                <w:color w:val="1F4E79" w:themeColor="accent1" w:themeShade="80"/>
              </w:rPr>
            </w:pPr>
            <w:r>
              <w:rPr>
                <w:color w:val="1F4E79" w:themeColor="accent1" w:themeShade="80"/>
              </w:rPr>
              <w:t>Enrollment Management and Marketing</w:t>
            </w:r>
          </w:p>
        </w:tc>
        <w:tc>
          <w:tcPr>
            <w:tcW w:w="1620" w:type="dxa"/>
            <w:shd w:val="clear" w:color="auto" w:fill="auto"/>
            <w:vAlign w:val="center"/>
          </w:tcPr>
          <w:p w:rsidR="00381991" w:rsidRPr="00D02C73" w:rsidRDefault="004508F7" w:rsidP="005F6804">
            <w:pPr>
              <w:spacing w:line="300" w:lineRule="auto"/>
              <w:jc w:val="center"/>
              <w:rPr>
                <w:color w:val="1F4E79" w:themeColor="accent1" w:themeShade="80"/>
              </w:rPr>
            </w:pPr>
            <w:r>
              <w:rPr>
                <w:color w:val="1F4E79" w:themeColor="accent1" w:themeShade="80"/>
              </w:rPr>
              <w:t>$10,000</w:t>
            </w:r>
          </w:p>
        </w:tc>
        <w:tc>
          <w:tcPr>
            <w:tcW w:w="4590" w:type="dxa"/>
            <w:vAlign w:val="center"/>
          </w:tcPr>
          <w:p w:rsidR="00381991" w:rsidRPr="00B07648" w:rsidRDefault="00A1792E" w:rsidP="00A1792E">
            <w:pPr>
              <w:autoSpaceDE w:val="0"/>
              <w:autoSpaceDN w:val="0"/>
              <w:adjustRightInd w:val="0"/>
              <w:rPr>
                <w:rFonts w:ascii="Calibri" w:hAnsi="Calibri" w:cs="Calibri"/>
                <w:color w:val="1F4E79" w:themeColor="accent1" w:themeShade="80"/>
              </w:rPr>
            </w:pPr>
            <w:r w:rsidRPr="00B07648">
              <w:rPr>
                <w:rFonts w:ascii="Calibri" w:hAnsi="Calibri" w:cs="Calibri"/>
                <w:color w:val="1F4E79" w:themeColor="accent1" w:themeShade="80"/>
              </w:rPr>
              <w:t>Peer Success Coaches in this</w:t>
            </w:r>
            <w:r w:rsidR="000917D5">
              <w:rPr>
                <w:rFonts w:ascii="Calibri" w:hAnsi="Calibri" w:cs="Calibri"/>
                <w:color w:val="1F4E79" w:themeColor="accent1" w:themeShade="80"/>
              </w:rPr>
              <w:t xml:space="preserve"> </w:t>
            </w:r>
            <w:r w:rsidRPr="00B07648">
              <w:rPr>
                <w:rFonts w:ascii="Calibri" w:hAnsi="Calibri" w:cs="Calibri"/>
                <w:color w:val="1F4E79" w:themeColor="accent1" w:themeShade="80"/>
              </w:rPr>
              <w:t>pilot program will provide non‐academic support for FTP students such as mentoring, advising, and addressing challenges through use of UB resources.</w:t>
            </w:r>
          </w:p>
        </w:tc>
      </w:tr>
      <w:tr w:rsidR="00381991" w:rsidTr="00A1792E">
        <w:trPr>
          <w:trHeight w:val="1160"/>
        </w:trPr>
        <w:tc>
          <w:tcPr>
            <w:tcW w:w="468" w:type="dxa"/>
            <w:vAlign w:val="center"/>
          </w:tcPr>
          <w:p w:rsidR="00381991" w:rsidRDefault="00381991" w:rsidP="0055542D">
            <w:pPr>
              <w:spacing w:line="300" w:lineRule="auto"/>
              <w:rPr>
                <w:rFonts w:asciiTheme="majorHAnsi" w:hAnsiTheme="majorHAnsi"/>
                <w:color w:val="1F497D"/>
              </w:rPr>
            </w:pPr>
            <w:r>
              <w:rPr>
                <w:rFonts w:asciiTheme="majorHAnsi" w:hAnsiTheme="majorHAnsi"/>
                <w:color w:val="1F497D"/>
              </w:rPr>
              <w:t>19</w:t>
            </w:r>
          </w:p>
        </w:tc>
        <w:tc>
          <w:tcPr>
            <w:tcW w:w="2880" w:type="dxa"/>
            <w:shd w:val="clear" w:color="auto" w:fill="auto"/>
            <w:vAlign w:val="center"/>
          </w:tcPr>
          <w:p w:rsidR="00381991" w:rsidRPr="00381991" w:rsidRDefault="00381991" w:rsidP="0055542D">
            <w:pPr>
              <w:spacing w:line="300" w:lineRule="auto"/>
              <w:rPr>
                <w:color w:val="1F497D"/>
              </w:rPr>
            </w:pPr>
            <w:r w:rsidRPr="00381991">
              <w:rPr>
                <w:color w:val="1F497D"/>
              </w:rPr>
              <w:t>Second Chance Program Reentry Coordinator</w:t>
            </w:r>
          </w:p>
        </w:tc>
        <w:tc>
          <w:tcPr>
            <w:tcW w:w="1710" w:type="dxa"/>
            <w:shd w:val="clear" w:color="auto" w:fill="auto"/>
            <w:vAlign w:val="center"/>
          </w:tcPr>
          <w:p w:rsidR="00381991" w:rsidRPr="00D02C73" w:rsidRDefault="00AB2707" w:rsidP="0055542D">
            <w:pPr>
              <w:spacing w:line="300" w:lineRule="auto"/>
              <w:rPr>
                <w:color w:val="1F4E79" w:themeColor="accent1" w:themeShade="80"/>
              </w:rPr>
            </w:pPr>
            <w:r>
              <w:rPr>
                <w:color w:val="1F4E79" w:themeColor="accent1" w:themeShade="80"/>
              </w:rPr>
              <w:t>CPA</w:t>
            </w:r>
          </w:p>
        </w:tc>
        <w:tc>
          <w:tcPr>
            <w:tcW w:w="1620" w:type="dxa"/>
            <w:shd w:val="clear" w:color="auto" w:fill="auto"/>
            <w:vAlign w:val="center"/>
          </w:tcPr>
          <w:p w:rsidR="00381991" w:rsidRPr="00D02C73" w:rsidRDefault="00A1792E" w:rsidP="005F6804">
            <w:pPr>
              <w:spacing w:line="300" w:lineRule="auto"/>
              <w:jc w:val="center"/>
              <w:rPr>
                <w:color w:val="1F4E79" w:themeColor="accent1" w:themeShade="80"/>
              </w:rPr>
            </w:pPr>
            <w:r>
              <w:rPr>
                <w:color w:val="1F4E79" w:themeColor="accent1" w:themeShade="80"/>
              </w:rPr>
              <w:t>$25,000</w:t>
            </w:r>
          </w:p>
        </w:tc>
        <w:tc>
          <w:tcPr>
            <w:tcW w:w="4590" w:type="dxa"/>
            <w:vAlign w:val="center"/>
          </w:tcPr>
          <w:p w:rsidR="00381991" w:rsidRPr="00B07648" w:rsidRDefault="00A1792E" w:rsidP="00D02C73">
            <w:pPr>
              <w:autoSpaceDE w:val="0"/>
              <w:autoSpaceDN w:val="0"/>
              <w:adjustRightInd w:val="0"/>
              <w:rPr>
                <w:rFonts w:ascii="Calibri" w:hAnsi="Calibri" w:cs="Calibri"/>
                <w:color w:val="1F4E79" w:themeColor="accent1" w:themeShade="80"/>
              </w:rPr>
            </w:pPr>
            <w:r w:rsidRPr="00B07648">
              <w:rPr>
                <w:color w:val="1F4E79" w:themeColor="accent1" w:themeShade="80"/>
              </w:rPr>
              <w:t>Support for reentry upon release is a vital component for the existing Second Chance College Program.</w:t>
            </w:r>
          </w:p>
        </w:tc>
      </w:tr>
      <w:tr w:rsidR="00381991" w:rsidTr="0055542D">
        <w:trPr>
          <w:trHeight w:val="1292"/>
        </w:trPr>
        <w:tc>
          <w:tcPr>
            <w:tcW w:w="468" w:type="dxa"/>
            <w:vAlign w:val="center"/>
          </w:tcPr>
          <w:p w:rsidR="00381991" w:rsidRDefault="00381991" w:rsidP="0055542D">
            <w:pPr>
              <w:spacing w:line="300" w:lineRule="auto"/>
              <w:rPr>
                <w:rFonts w:asciiTheme="majorHAnsi" w:hAnsiTheme="majorHAnsi"/>
                <w:color w:val="1F497D"/>
              </w:rPr>
            </w:pPr>
            <w:r>
              <w:rPr>
                <w:rFonts w:asciiTheme="majorHAnsi" w:hAnsiTheme="majorHAnsi"/>
                <w:color w:val="1F497D"/>
              </w:rPr>
              <w:t>20</w:t>
            </w:r>
          </w:p>
        </w:tc>
        <w:tc>
          <w:tcPr>
            <w:tcW w:w="2880" w:type="dxa"/>
            <w:shd w:val="clear" w:color="auto" w:fill="auto"/>
            <w:vAlign w:val="center"/>
          </w:tcPr>
          <w:p w:rsidR="00381991" w:rsidRPr="00381991" w:rsidRDefault="00381991" w:rsidP="0055542D">
            <w:pPr>
              <w:spacing w:line="300" w:lineRule="auto"/>
              <w:rPr>
                <w:color w:val="1F497D"/>
              </w:rPr>
            </w:pPr>
            <w:r w:rsidRPr="00381991">
              <w:rPr>
                <w:color w:val="1F497D"/>
              </w:rPr>
              <w:t>Transfer Advisor &amp; Career Counselor</w:t>
            </w:r>
          </w:p>
        </w:tc>
        <w:tc>
          <w:tcPr>
            <w:tcW w:w="1710" w:type="dxa"/>
            <w:shd w:val="clear" w:color="auto" w:fill="auto"/>
            <w:vAlign w:val="center"/>
          </w:tcPr>
          <w:p w:rsidR="00381991" w:rsidRPr="00D02C73" w:rsidRDefault="00AB2707" w:rsidP="0055542D">
            <w:pPr>
              <w:spacing w:line="300" w:lineRule="auto"/>
              <w:rPr>
                <w:color w:val="1F4E79" w:themeColor="accent1" w:themeShade="80"/>
              </w:rPr>
            </w:pPr>
            <w:r>
              <w:rPr>
                <w:color w:val="1F4E79" w:themeColor="accent1" w:themeShade="80"/>
              </w:rPr>
              <w:t>Enrollment Management and Marketing</w:t>
            </w:r>
          </w:p>
        </w:tc>
        <w:tc>
          <w:tcPr>
            <w:tcW w:w="1620" w:type="dxa"/>
            <w:shd w:val="clear" w:color="auto" w:fill="auto"/>
            <w:vAlign w:val="center"/>
          </w:tcPr>
          <w:p w:rsidR="00381991" w:rsidRPr="00D02C73" w:rsidRDefault="004508F7" w:rsidP="005F6804">
            <w:pPr>
              <w:spacing w:line="300" w:lineRule="auto"/>
              <w:jc w:val="center"/>
              <w:rPr>
                <w:color w:val="1F4E79" w:themeColor="accent1" w:themeShade="80"/>
              </w:rPr>
            </w:pPr>
            <w:r>
              <w:rPr>
                <w:color w:val="1F4E79" w:themeColor="accent1" w:themeShade="80"/>
              </w:rPr>
              <w:t>$25,000</w:t>
            </w:r>
          </w:p>
        </w:tc>
        <w:tc>
          <w:tcPr>
            <w:tcW w:w="4590" w:type="dxa"/>
            <w:vAlign w:val="center"/>
          </w:tcPr>
          <w:p w:rsidR="00381991" w:rsidRPr="00B07648" w:rsidRDefault="00A1792E" w:rsidP="00D02C73">
            <w:pPr>
              <w:autoSpaceDE w:val="0"/>
              <w:autoSpaceDN w:val="0"/>
              <w:adjustRightInd w:val="0"/>
              <w:rPr>
                <w:rFonts w:ascii="Calibri" w:hAnsi="Calibri" w:cs="Calibri"/>
                <w:color w:val="1F4E79" w:themeColor="accent1" w:themeShade="80"/>
              </w:rPr>
            </w:pPr>
            <w:r w:rsidRPr="00B07648">
              <w:rPr>
                <w:color w:val="1F4E79" w:themeColor="accent1" w:themeShade="80"/>
              </w:rPr>
              <w:t>As transfer students make up 80% of UB’s undergraduate population, a dedicated transfer counselor is essential.</w:t>
            </w:r>
          </w:p>
        </w:tc>
      </w:tr>
      <w:tr w:rsidR="00381991" w:rsidTr="0055542D">
        <w:trPr>
          <w:trHeight w:val="1292"/>
        </w:trPr>
        <w:tc>
          <w:tcPr>
            <w:tcW w:w="468" w:type="dxa"/>
            <w:vAlign w:val="center"/>
          </w:tcPr>
          <w:p w:rsidR="00381991" w:rsidRDefault="00381991" w:rsidP="0055542D">
            <w:pPr>
              <w:spacing w:line="300" w:lineRule="auto"/>
              <w:rPr>
                <w:rFonts w:asciiTheme="majorHAnsi" w:hAnsiTheme="majorHAnsi"/>
                <w:color w:val="1F497D"/>
              </w:rPr>
            </w:pPr>
            <w:r>
              <w:rPr>
                <w:rFonts w:asciiTheme="majorHAnsi" w:hAnsiTheme="majorHAnsi"/>
                <w:color w:val="1F497D"/>
              </w:rPr>
              <w:t>21</w:t>
            </w:r>
          </w:p>
        </w:tc>
        <w:tc>
          <w:tcPr>
            <w:tcW w:w="2880" w:type="dxa"/>
            <w:shd w:val="clear" w:color="auto" w:fill="auto"/>
            <w:vAlign w:val="center"/>
          </w:tcPr>
          <w:p w:rsidR="00381991" w:rsidRPr="00381991" w:rsidRDefault="00381991" w:rsidP="0055542D">
            <w:pPr>
              <w:spacing w:line="300" w:lineRule="auto"/>
              <w:rPr>
                <w:color w:val="1F497D"/>
              </w:rPr>
            </w:pPr>
            <w:r w:rsidRPr="00381991">
              <w:rPr>
                <w:color w:val="1F497D"/>
              </w:rPr>
              <w:t>Faculty Summer Research Stipends</w:t>
            </w:r>
          </w:p>
        </w:tc>
        <w:tc>
          <w:tcPr>
            <w:tcW w:w="1710" w:type="dxa"/>
            <w:shd w:val="clear" w:color="auto" w:fill="auto"/>
            <w:vAlign w:val="center"/>
          </w:tcPr>
          <w:p w:rsidR="00381991" w:rsidRPr="00D02C73" w:rsidRDefault="00A1792E" w:rsidP="0055542D">
            <w:pPr>
              <w:spacing w:line="300" w:lineRule="auto"/>
              <w:rPr>
                <w:color w:val="1F4E79" w:themeColor="accent1" w:themeShade="80"/>
              </w:rPr>
            </w:pPr>
            <w:r>
              <w:rPr>
                <w:color w:val="1F4E79" w:themeColor="accent1" w:themeShade="80"/>
              </w:rPr>
              <w:t>CAS</w:t>
            </w:r>
          </w:p>
        </w:tc>
        <w:tc>
          <w:tcPr>
            <w:tcW w:w="1620" w:type="dxa"/>
            <w:shd w:val="clear" w:color="auto" w:fill="auto"/>
            <w:vAlign w:val="center"/>
          </w:tcPr>
          <w:p w:rsidR="00381991" w:rsidRPr="00D02C73" w:rsidRDefault="00A1792E" w:rsidP="000A74EF">
            <w:pPr>
              <w:spacing w:line="300" w:lineRule="auto"/>
              <w:jc w:val="center"/>
              <w:rPr>
                <w:color w:val="1F4E79" w:themeColor="accent1" w:themeShade="80"/>
              </w:rPr>
            </w:pPr>
            <w:r>
              <w:rPr>
                <w:color w:val="1F4E79" w:themeColor="accent1" w:themeShade="80"/>
              </w:rPr>
              <w:t>$1</w:t>
            </w:r>
            <w:r w:rsidR="000A74EF">
              <w:rPr>
                <w:color w:val="1F4E79" w:themeColor="accent1" w:themeShade="80"/>
              </w:rPr>
              <w:t>3</w:t>
            </w:r>
            <w:r>
              <w:rPr>
                <w:color w:val="1F4E79" w:themeColor="accent1" w:themeShade="80"/>
              </w:rPr>
              <w:t>,000</w:t>
            </w:r>
          </w:p>
        </w:tc>
        <w:tc>
          <w:tcPr>
            <w:tcW w:w="4590" w:type="dxa"/>
            <w:vAlign w:val="center"/>
          </w:tcPr>
          <w:p w:rsidR="00381991" w:rsidRPr="00B07648" w:rsidRDefault="00A1792E" w:rsidP="00A1792E">
            <w:pPr>
              <w:autoSpaceDE w:val="0"/>
              <w:autoSpaceDN w:val="0"/>
              <w:adjustRightInd w:val="0"/>
              <w:rPr>
                <w:rFonts w:ascii="Calibri" w:hAnsi="Calibri" w:cs="Calibri"/>
                <w:color w:val="1F4E79" w:themeColor="accent1" w:themeShade="80"/>
              </w:rPr>
            </w:pPr>
            <w:r w:rsidRPr="00B07648">
              <w:rPr>
                <w:rFonts w:ascii="Calibri" w:hAnsi="Calibri" w:cs="Calibri"/>
                <w:color w:val="1F4E79" w:themeColor="accent1" w:themeShade="80"/>
              </w:rPr>
              <w:t>Funding will support innovative faculty research within the College of Arts and Sciences during the summer of 2017.</w:t>
            </w:r>
          </w:p>
        </w:tc>
      </w:tr>
      <w:bookmarkEnd w:id="0"/>
    </w:tbl>
    <w:p w:rsidR="00326F0A" w:rsidRDefault="00326F0A"/>
    <w:p w:rsidR="00381991" w:rsidRDefault="00381991"/>
    <w:sectPr w:rsidR="00381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0A"/>
    <w:rsid w:val="000917D5"/>
    <w:rsid w:val="000A74EF"/>
    <w:rsid w:val="00220181"/>
    <w:rsid w:val="00326F0A"/>
    <w:rsid w:val="00381991"/>
    <w:rsid w:val="004508F7"/>
    <w:rsid w:val="005F6804"/>
    <w:rsid w:val="00677907"/>
    <w:rsid w:val="00A1792E"/>
    <w:rsid w:val="00A41FCF"/>
    <w:rsid w:val="00AB2707"/>
    <w:rsid w:val="00B07648"/>
    <w:rsid w:val="00C83986"/>
    <w:rsid w:val="00D02C73"/>
    <w:rsid w:val="00E90C47"/>
    <w:rsid w:val="00E9656F"/>
    <w:rsid w:val="00F6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A16DB-7B57-4BF3-AE2D-CEEA40C4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6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Belzer</dc:creator>
  <cp:keywords/>
  <dc:description/>
  <cp:lastModifiedBy>Hillary Belzer</cp:lastModifiedBy>
  <cp:revision>12</cp:revision>
  <dcterms:created xsi:type="dcterms:W3CDTF">2016-01-05T19:11:00Z</dcterms:created>
  <dcterms:modified xsi:type="dcterms:W3CDTF">2017-08-28T14:11:00Z</dcterms:modified>
</cp:coreProperties>
</file>