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082" w:rsidRPr="002A7082" w:rsidRDefault="00570448" w:rsidP="002A708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OUTSIDE </w:t>
      </w:r>
      <w:r w:rsidR="00BE2AC5">
        <w:rPr>
          <w:b/>
          <w:sz w:val="28"/>
          <w:szCs w:val="28"/>
        </w:rPr>
        <w:t>ACTIVITIES/EMPLOYMENT</w:t>
      </w:r>
    </w:p>
    <w:p w:rsidR="000577DC" w:rsidRPr="002A7082" w:rsidRDefault="002A7082" w:rsidP="002A7082">
      <w:pPr>
        <w:jc w:val="center"/>
        <w:rPr>
          <w:sz w:val="28"/>
          <w:szCs w:val="28"/>
        </w:rPr>
      </w:pPr>
      <w:r w:rsidRPr="002A7082">
        <w:rPr>
          <w:b/>
          <w:sz w:val="28"/>
          <w:szCs w:val="28"/>
        </w:rPr>
        <w:t>GUIDELINES</w:t>
      </w:r>
    </w:p>
    <w:p w:rsidR="002A7082" w:rsidRDefault="002A7082" w:rsidP="002A7082">
      <w:pPr>
        <w:jc w:val="center"/>
      </w:pPr>
    </w:p>
    <w:p w:rsidR="002A7082" w:rsidRDefault="002A7082" w:rsidP="002A7082">
      <w:pPr>
        <w:tabs>
          <w:tab w:val="clear" w:pos="360"/>
          <w:tab w:val="clear" w:pos="720"/>
          <w:tab w:val="clear" w:pos="810"/>
        </w:tabs>
        <w:ind w:left="0" w:firstLine="0"/>
      </w:pPr>
    </w:p>
    <w:p w:rsidR="002A7082" w:rsidRDefault="002A7082" w:rsidP="002A7082">
      <w:pPr>
        <w:tabs>
          <w:tab w:val="clear" w:pos="360"/>
          <w:tab w:val="clear" w:pos="720"/>
          <w:tab w:val="clear" w:pos="810"/>
        </w:tabs>
        <w:ind w:left="0" w:firstLine="0"/>
      </w:pPr>
    </w:p>
    <w:p w:rsidR="00C345DB" w:rsidRPr="00C345DB" w:rsidRDefault="00D80DEE" w:rsidP="00C345DB">
      <w:pPr>
        <w:tabs>
          <w:tab w:val="clear" w:pos="360"/>
          <w:tab w:val="clear" w:pos="720"/>
          <w:tab w:val="clear" w:pos="810"/>
        </w:tabs>
        <w:ind w:left="0" w:firstLine="0"/>
      </w:pPr>
      <w:r>
        <w:t>The</w:t>
      </w:r>
      <w:r w:rsidR="00610B68">
        <w:t xml:space="preserve"> </w:t>
      </w:r>
      <w:r w:rsidR="00553C17">
        <w:t xml:space="preserve">University System of Maryland </w:t>
      </w:r>
      <w:r w:rsidR="00610B68">
        <w:t>Board of Regents Policy on P</w:t>
      </w:r>
      <w:r w:rsidR="00553C17">
        <w:t>rofessional Commitment of Faculty (</w:t>
      </w:r>
      <w:hyperlink r:id="rId5" w:history="1">
        <w:r w:rsidR="00553C17" w:rsidRPr="005453A2">
          <w:rPr>
            <w:rStyle w:val="Hyperlink"/>
          </w:rPr>
          <w:t>http://www.usmd.edu/regents/bylaws/SectionII/II310.html</w:t>
        </w:r>
      </w:hyperlink>
      <w:r w:rsidR="00553C17">
        <w:t>)</w:t>
      </w:r>
      <w:r>
        <w:t xml:space="preserve"> establishes broad guidelines for avoiding conflicts of commitment…</w:t>
      </w:r>
      <w:r w:rsidR="00502502">
        <w:t>”  That policy indicates</w:t>
      </w:r>
      <w:r>
        <w:t xml:space="preserve"> that</w:t>
      </w:r>
      <w:r w:rsidR="00553C17">
        <w:t xml:space="preserve"> </w:t>
      </w:r>
      <w:r w:rsidR="00610B68">
        <w:t>“</w:t>
      </w:r>
      <w:r>
        <w:t>E</w:t>
      </w:r>
      <w:r w:rsidR="00C345DB" w:rsidRPr="00C345DB">
        <w:t>ach institution of the USM</w:t>
      </w:r>
      <w:r w:rsidR="00553C17">
        <w:t xml:space="preserve"> </w:t>
      </w:r>
      <w:r w:rsidR="00C345DB" w:rsidRPr="00C345DB">
        <w:t>shall develop and publish procedures to implement this policy.</w:t>
      </w:r>
      <w:r w:rsidR="00610B68">
        <w:t xml:space="preserve">  </w:t>
      </w:r>
      <w:r w:rsidR="00C345DB" w:rsidRPr="00C345DB">
        <w:t>Such procedures shall include provisions for regular reporting by faculty members to the institution on all outside professional consulting or teaching and substantial external professional services, whether paid or unpaid.</w:t>
      </w:r>
      <w:r w:rsidR="00610B68">
        <w:t>”</w:t>
      </w:r>
    </w:p>
    <w:p w:rsidR="002A7082" w:rsidRDefault="002A7082" w:rsidP="002A7082">
      <w:pPr>
        <w:tabs>
          <w:tab w:val="clear" w:pos="360"/>
          <w:tab w:val="clear" w:pos="720"/>
          <w:tab w:val="clear" w:pos="810"/>
        </w:tabs>
        <w:ind w:left="0" w:firstLine="0"/>
      </w:pPr>
    </w:p>
    <w:p w:rsidR="00562FFD" w:rsidRDefault="00610B68" w:rsidP="002A7082">
      <w:pPr>
        <w:tabs>
          <w:tab w:val="clear" w:pos="360"/>
          <w:tab w:val="clear" w:pos="720"/>
          <w:tab w:val="clear" w:pos="810"/>
        </w:tabs>
        <w:ind w:left="0" w:firstLine="0"/>
      </w:pPr>
      <w:r>
        <w:t>The</w:t>
      </w:r>
      <w:r w:rsidR="00D80DEE">
        <w:t xml:space="preserve"> Outside </w:t>
      </w:r>
      <w:r w:rsidR="00BE2AC5">
        <w:t>Activities</w:t>
      </w:r>
      <w:r w:rsidR="00D80DEE">
        <w:t xml:space="preserve"> Form</w:t>
      </w:r>
      <w:r w:rsidR="00562FFD">
        <w:t xml:space="preserve"> (O</w:t>
      </w:r>
      <w:r w:rsidR="00BE2AC5">
        <w:t>A</w:t>
      </w:r>
      <w:r w:rsidR="00562FFD">
        <w:t xml:space="preserve"> Form)</w:t>
      </w:r>
      <w:r w:rsidR="00D80DEE">
        <w:t xml:space="preserve"> serves as that reporting </w:t>
      </w:r>
      <w:r>
        <w:t xml:space="preserve">vehicle </w:t>
      </w:r>
      <w:r w:rsidR="00D80DEE">
        <w:t>for the University of Ba</w:t>
      </w:r>
      <w:r w:rsidR="00502502">
        <w:t>ltimore.</w:t>
      </w:r>
    </w:p>
    <w:p w:rsidR="00562FFD" w:rsidRDefault="00562FFD" w:rsidP="002A7082">
      <w:pPr>
        <w:tabs>
          <w:tab w:val="clear" w:pos="360"/>
          <w:tab w:val="clear" w:pos="720"/>
          <w:tab w:val="clear" w:pos="810"/>
        </w:tabs>
        <w:ind w:left="0" w:firstLine="0"/>
      </w:pPr>
    </w:p>
    <w:p w:rsidR="00502502" w:rsidRDefault="00502502" w:rsidP="002A7082">
      <w:pPr>
        <w:tabs>
          <w:tab w:val="clear" w:pos="360"/>
          <w:tab w:val="clear" w:pos="720"/>
          <w:tab w:val="clear" w:pos="810"/>
        </w:tabs>
        <w:ind w:left="0" w:firstLine="0"/>
        <w:rPr>
          <w:b/>
        </w:rPr>
      </w:pPr>
      <w:r>
        <w:rPr>
          <w:b/>
        </w:rPr>
        <w:t xml:space="preserve">General </w:t>
      </w:r>
    </w:p>
    <w:p w:rsidR="00502502" w:rsidRDefault="00502502" w:rsidP="002A7082">
      <w:pPr>
        <w:tabs>
          <w:tab w:val="clear" w:pos="360"/>
          <w:tab w:val="clear" w:pos="720"/>
          <w:tab w:val="clear" w:pos="810"/>
        </w:tabs>
        <w:ind w:left="0" w:firstLine="0"/>
        <w:rPr>
          <w:b/>
        </w:rPr>
      </w:pPr>
    </w:p>
    <w:p w:rsidR="0037552E" w:rsidRDefault="0037552E" w:rsidP="0037552E">
      <w:pPr>
        <w:pStyle w:val="ListParagraph"/>
        <w:numPr>
          <w:ilvl w:val="0"/>
          <w:numId w:val="2"/>
        </w:numPr>
        <w:tabs>
          <w:tab w:val="clear" w:pos="360"/>
          <w:tab w:val="clear" w:pos="720"/>
          <w:tab w:val="clear" w:pos="810"/>
          <w:tab w:val="left" w:pos="-1440"/>
        </w:tabs>
        <w:ind w:left="450" w:hanging="450"/>
      </w:pPr>
      <w:r>
        <w:t>For purposes of completing this form, “outside activities” refer to those activities that are not part of your regular UB faculty workload.</w:t>
      </w:r>
    </w:p>
    <w:p w:rsidR="0037552E" w:rsidRDefault="0037552E" w:rsidP="0037552E">
      <w:pPr>
        <w:pStyle w:val="ListParagraph"/>
        <w:tabs>
          <w:tab w:val="clear" w:pos="360"/>
          <w:tab w:val="clear" w:pos="720"/>
          <w:tab w:val="clear" w:pos="810"/>
          <w:tab w:val="left" w:pos="-1440"/>
        </w:tabs>
        <w:ind w:left="450" w:firstLine="0"/>
      </w:pPr>
    </w:p>
    <w:p w:rsidR="00502502" w:rsidRDefault="00D80DEE" w:rsidP="00502502">
      <w:pPr>
        <w:pStyle w:val="ListParagraph"/>
        <w:numPr>
          <w:ilvl w:val="0"/>
          <w:numId w:val="2"/>
        </w:numPr>
        <w:tabs>
          <w:tab w:val="clear" w:pos="360"/>
          <w:tab w:val="clear" w:pos="720"/>
          <w:tab w:val="clear" w:pos="810"/>
        </w:tabs>
        <w:ind w:left="450" w:hanging="450"/>
      </w:pPr>
      <w:r w:rsidRPr="00502502">
        <w:t xml:space="preserve">All full-time faculty are required to file the </w:t>
      </w:r>
      <w:r w:rsidR="00562FFD" w:rsidRPr="00502502">
        <w:t>O</w:t>
      </w:r>
      <w:r w:rsidR="00BE2AC5">
        <w:t>A</w:t>
      </w:r>
      <w:r w:rsidR="00562FFD" w:rsidRPr="00502502">
        <w:t xml:space="preserve"> F</w:t>
      </w:r>
      <w:r w:rsidRPr="00502502">
        <w:t>orm annually, whether or not approval of outside employment is being requested.</w:t>
      </w:r>
    </w:p>
    <w:p w:rsidR="00DF56D6" w:rsidRDefault="00DF56D6" w:rsidP="00DF56D6">
      <w:pPr>
        <w:pStyle w:val="ListParagraph"/>
        <w:tabs>
          <w:tab w:val="clear" w:pos="360"/>
          <w:tab w:val="clear" w:pos="720"/>
          <w:tab w:val="clear" w:pos="810"/>
        </w:tabs>
        <w:ind w:left="450" w:firstLine="0"/>
      </w:pPr>
    </w:p>
    <w:p w:rsidR="000171D5" w:rsidRDefault="00DF56D6" w:rsidP="00DF56D6">
      <w:pPr>
        <w:pStyle w:val="ListParagraph"/>
        <w:numPr>
          <w:ilvl w:val="0"/>
          <w:numId w:val="2"/>
        </w:numPr>
        <w:tabs>
          <w:tab w:val="clear" w:pos="360"/>
          <w:tab w:val="clear" w:pos="720"/>
          <w:tab w:val="clear" w:pos="810"/>
        </w:tabs>
        <w:ind w:left="450" w:hanging="450"/>
      </w:pPr>
      <w:r>
        <w:t xml:space="preserve">Full-time faculty members may undertake consulting, overload teaching, or professional services </w:t>
      </w:r>
      <w:r w:rsidRPr="000171D5">
        <w:t>within the constituent institution</w:t>
      </w:r>
      <w:r>
        <w:t xml:space="preserve"> during an appointment period for a stipend only with the </w:t>
      </w:r>
      <w:r w:rsidRPr="00307B36">
        <w:rPr>
          <w:i/>
        </w:rPr>
        <w:t>advance written approval</w:t>
      </w:r>
      <w:r>
        <w:t xml:space="preserve"> of the president or designee.  </w:t>
      </w:r>
    </w:p>
    <w:p w:rsidR="000171D5" w:rsidRDefault="000171D5" w:rsidP="000171D5">
      <w:pPr>
        <w:pStyle w:val="ListParagraph"/>
      </w:pPr>
    </w:p>
    <w:p w:rsidR="000171D5" w:rsidRDefault="000171D5" w:rsidP="000171D5">
      <w:pPr>
        <w:pStyle w:val="ListParagraph"/>
        <w:numPr>
          <w:ilvl w:val="0"/>
          <w:numId w:val="2"/>
        </w:numPr>
        <w:tabs>
          <w:tab w:val="clear" w:pos="360"/>
          <w:tab w:val="clear" w:pos="720"/>
          <w:tab w:val="clear" w:pos="810"/>
        </w:tabs>
        <w:ind w:left="450" w:hanging="450"/>
      </w:pPr>
      <w:r>
        <w:t>External professional services, whether income-producing or not, may be undertaken only when it is en</w:t>
      </w:r>
      <w:r w:rsidR="008C708F">
        <w:t xml:space="preserve">sured that all responsibilities </w:t>
      </w:r>
      <w:r>
        <w:t>associated with the individual’s faculty position are fully satisfied and will continue to be met.</w:t>
      </w:r>
      <w:r w:rsidR="00BE2AC5">
        <w:t xml:space="preserve">  See the UB Policy on</w:t>
      </w:r>
      <w:r w:rsidR="009966C4">
        <w:t xml:space="preserve"> Professional Commitment of Faculty (</w:t>
      </w:r>
      <w:hyperlink r:id="rId6" w:history="1">
        <w:r w:rsidR="009966C4" w:rsidRPr="005453A2">
          <w:rPr>
            <w:rStyle w:val="Hyperlink"/>
          </w:rPr>
          <w:t>http://www.ubalt.edu/policies/index.cfm?page=136</w:t>
        </w:r>
      </w:hyperlink>
      <w:r w:rsidR="009966C4">
        <w:t xml:space="preserve">). </w:t>
      </w:r>
    </w:p>
    <w:p w:rsidR="009966C4" w:rsidRDefault="009966C4" w:rsidP="009966C4">
      <w:pPr>
        <w:tabs>
          <w:tab w:val="clear" w:pos="360"/>
          <w:tab w:val="clear" w:pos="720"/>
          <w:tab w:val="clear" w:pos="810"/>
        </w:tabs>
        <w:ind w:left="0" w:firstLine="0"/>
      </w:pPr>
    </w:p>
    <w:p w:rsidR="00502502" w:rsidRDefault="009966C4" w:rsidP="00DF56D6">
      <w:pPr>
        <w:pStyle w:val="ListParagraph"/>
        <w:numPr>
          <w:ilvl w:val="0"/>
          <w:numId w:val="2"/>
        </w:numPr>
        <w:tabs>
          <w:tab w:val="clear" w:pos="360"/>
          <w:tab w:val="clear" w:pos="720"/>
          <w:tab w:val="clear" w:pos="810"/>
        </w:tabs>
        <w:ind w:left="450" w:hanging="450"/>
      </w:pPr>
      <w:r>
        <w:t>F</w:t>
      </w:r>
      <w:r w:rsidR="00562FFD">
        <w:t>aculty are asked to complete OE Forms prior to the end of the spring semester</w:t>
      </w:r>
      <w:r w:rsidR="00502502">
        <w:t xml:space="preserve"> for activities to be performed the following </w:t>
      </w:r>
      <w:r w:rsidR="00BE2AC5">
        <w:t xml:space="preserve">summer and </w:t>
      </w:r>
      <w:r w:rsidR="00502502">
        <w:t>academic year</w:t>
      </w:r>
      <w:r w:rsidR="00562FFD">
        <w:t xml:space="preserve">.  </w:t>
      </w:r>
      <w:r w:rsidR="000171D5">
        <w:rPr>
          <w:color w:val="C00000"/>
        </w:rPr>
        <w:t xml:space="preserve"> </w:t>
      </w:r>
    </w:p>
    <w:p w:rsidR="00502502" w:rsidRDefault="00502502" w:rsidP="00502502">
      <w:pPr>
        <w:pStyle w:val="ListParagraph"/>
      </w:pPr>
    </w:p>
    <w:p w:rsidR="00502502" w:rsidRDefault="00562FFD" w:rsidP="00502502">
      <w:pPr>
        <w:pStyle w:val="ListParagraph"/>
        <w:numPr>
          <w:ilvl w:val="0"/>
          <w:numId w:val="2"/>
        </w:numPr>
        <w:tabs>
          <w:tab w:val="clear" w:pos="360"/>
          <w:tab w:val="clear" w:pos="720"/>
          <w:tab w:val="clear" w:pos="810"/>
        </w:tabs>
        <w:ind w:left="450" w:hanging="450"/>
      </w:pPr>
      <w:r>
        <w:t>The</w:t>
      </w:r>
      <w:r w:rsidR="00570448">
        <w:t xml:space="preserve"> </w:t>
      </w:r>
      <w:r w:rsidR="00502502">
        <w:t>O</w:t>
      </w:r>
      <w:r w:rsidR="00BE2AC5">
        <w:t>A</w:t>
      </w:r>
      <w:r w:rsidR="00502502">
        <w:t xml:space="preserve"> </w:t>
      </w:r>
      <w:r w:rsidR="00570448">
        <w:t>Forms</w:t>
      </w:r>
      <w:r>
        <w:t xml:space="preserve"> </w:t>
      </w:r>
      <w:r w:rsidR="00502502">
        <w:t>must be</w:t>
      </w:r>
      <w:r>
        <w:t xml:space="preserve"> approv</w:t>
      </w:r>
      <w:r w:rsidR="00570448">
        <w:t>ed</w:t>
      </w:r>
      <w:r>
        <w:t xml:space="preserve"> by the division/department chair (as applicable), the dean, and the provost.</w:t>
      </w:r>
    </w:p>
    <w:p w:rsidR="00502502" w:rsidRDefault="00502502" w:rsidP="00502502">
      <w:pPr>
        <w:pStyle w:val="ListParagraph"/>
      </w:pPr>
    </w:p>
    <w:p w:rsidR="00502502" w:rsidRDefault="00187D8E" w:rsidP="00502502">
      <w:pPr>
        <w:pStyle w:val="ListParagraph"/>
        <w:numPr>
          <w:ilvl w:val="0"/>
          <w:numId w:val="2"/>
        </w:numPr>
        <w:tabs>
          <w:tab w:val="clear" w:pos="360"/>
          <w:tab w:val="clear" w:pos="720"/>
          <w:tab w:val="clear" w:pos="810"/>
        </w:tabs>
        <w:ind w:left="450" w:hanging="450"/>
      </w:pPr>
      <w:r>
        <w:t>The combined total of o</w:t>
      </w:r>
      <w:r w:rsidR="00DF56D6" w:rsidRPr="00666149">
        <w:t xml:space="preserve">utside </w:t>
      </w:r>
      <w:r w:rsidR="00BE2AC5" w:rsidRPr="00666149">
        <w:t>activities</w:t>
      </w:r>
      <w:r w:rsidR="00BE2AC5">
        <w:t xml:space="preserve"> m</w:t>
      </w:r>
      <w:r w:rsidR="00DF56D6">
        <w:t xml:space="preserve">ay not exceed an average of eight (8) hours per week </w:t>
      </w:r>
      <w:r>
        <w:t xml:space="preserve">(20% effort) </w:t>
      </w:r>
      <w:r w:rsidR="00DF56D6">
        <w:t>during the period of the faculty member’s contract.</w:t>
      </w:r>
      <w:r w:rsidR="00570448">
        <w:t xml:space="preserve">  </w:t>
      </w:r>
    </w:p>
    <w:p w:rsidR="00502502" w:rsidRDefault="00502502" w:rsidP="00502502">
      <w:pPr>
        <w:pStyle w:val="ListParagraph"/>
      </w:pPr>
    </w:p>
    <w:p w:rsidR="00DF56D6" w:rsidRDefault="00570448" w:rsidP="00DF56D6">
      <w:pPr>
        <w:pStyle w:val="ListParagraph"/>
        <w:numPr>
          <w:ilvl w:val="0"/>
          <w:numId w:val="2"/>
        </w:numPr>
        <w:tabs>
          <w:tab w:val="clear" w:pos="360"/>
          <w:tab w:val="clear" w:pos="720"/>
          <w:tab w:val="clear" w:pos="810"/>
        </w:tabs>
        <w:ind w:left="450" w:hanging="450"/>
      </w:pPr>
      <w:r>
        <w:t xml:space="preserve">For 9.5-month faculty, </w:t>
      </w:r>
      <w:r w:rsidR="000171D5">
        <w:t>the eight-hour per week limitation does not apply</w:t>
      </w:r>
      <w:r w:rsidR="00187D8E">
        <w:t xml:space="preserve"> during the summer months</w:t>
      </w:r>
      <w:r>
        <w:t>.</w:t>
      </w:r>
      <w:r w:rsidR="000171D5">
        <w:t xml:space="preserve">  However, summer activities</w:t>
      </w:r>
      <w:r w:rsidR="00BE2AC5">
        <w:t xml:space="preserve"> should be included on the OA Form.</w:t>
      </w:r>
      <w:r w:rsidR="000171D5">
        <w:t xml:space="preserve"> </w:t>
      </w:r>
      <w:r w:rsidR="00DF56D6" w:rsidRPr="00DF56D6">
        <w:t xml:space="preserve"> </w:t>
      </w:r>
    </w:p>
    <w:p w:rsidR="00DF56D6" w:rsidRDefault="00DF56D6" w:rsidP="00DF56D6">
      <w:pPr>
        <w:pStyle w:val="ListParagraph"/>
      </w:pPr>
    </w:p>
    <w:p w:rsidR="00570448" w:rsidRPr="00D80DEE" w:rsidRDefault="00DF56D6" w:rsidP="00DF56D6">
      <w:pPr>
        <w:pStyle w:val="ListParagraph"/>
        <w:numPr>
          <w:ilvl w:val="0"/>
          <w:numId w:val="2"/>
        </w:numPr>
        <w:tabs>
          <w:tab w:val="clear" w:pos="360"/>
          <w:tab w:val="clear" w:pos="720"/>
          <w:tab w:val="clear" w:pos="810"/>
        </w:tabs>
        <w:ind w:left="450" w:hanging="450"/>
      </w:pPr>
      <w:r>
        <w:t>If a faculty member wishes to engage in a</w:t>
      </w:r>
      <w:r w:rsidR="000171D5">
        <w:t xml:space="preserve"> paid</w:t>
      </w:r>
      <w:r>
        <w:t xml:space="preserve"> activity that was not included on the original submission, a revised O</w:t>
      </w:r>
      <w:r w:rsidR="00BE2AC5">
        <w:t>A</w:t>
      </w:r>
      <w:r>
        <w:t xml:space="preserve"> Form must be submitted through the same approval process as the original Form</w:t>
      </w:r>
      <w:r w:rsidR="008A2A40">
        <w:t>, in advance of the contract start date</w:t>
      </w:r>
      <w:r>
        <w:t>.</w:t>
      </w:r>
    </w:p>
    <w:p w:rsidR="00570448" w:rsidRDefault="00570448" w:rsidP="00570448">
      <w:pPr>
        <w:tabs>
          <w:tab w:val="clear" w:pos="360"/>
          <w:tab w:val="clear" w:pos="720"/>
          <w:tab w:val="clear" w:pos="810"/>
        </w:tabs>
        <w:ind w:left="0" w:firstLine="0"/>
      </w:pPr>
    </w:p>
    <w:p w:rsidR="00570448" w:rsidRDefault="00570448" w:rsidP="00570448">
      <w:pPr>
        <w:tabs>
          <w:tab w:val="clear" w:pos="360"/>
          <w:tab w:val="clear" w:pos="720"/>
          <w:tab w:val="clear" w:pos="810"/>
        </w:tabs>
        <w:ind w:left="0" w:firstLine="0"/>
      </w:pPr>
    </w:p>
    <w:p w:rsidR="00570448" w:rsidRPr="00570448" w:rsidRDefault="00570448" w:rsidP="00666149">
      <w:pPr>
        <w:keepNext/>
        <w:keepLines/>
        <w:tabs>
          <w:tab w:val="clear" w:pos="360"/>
          <w:tab w:val="clear" w:pos="720"/>
          <w:tab w:val="clear" w:pos="810"/>
        </w:tabs>
        <w:ind w:left="0" w:firstLine="0"/>
        <w:rPr>
          <w:b/>
        </w:rPr>
      </w:pPr>
      <w:r w:rsidRPr="00570448">
        <w:rPr>
          <w:b/>
        </w:rPr>
        <w:t xml:space="preserve">Completing the Outside </w:t>
      </w:r>
      <w:r w:rsidR="008A2A40">
        <w:rPr>
          <w:b/>
        </w:rPr>
        <w:t>Activities</w:t>
      </w:r>
      <w:r w:rsidRPr="00570448">
        <w:rPr>
          <w:b/>
        </w:rPr>
        <w:t xml:space="preserve"> Form</w:t>
      </w:r>
    </w:p>
    <w:p w:rsidR="00570448" w:rsidRDefault="00570448" w:rsidP="00666149">
      <w:pPr>
        <w:keepNext/>
        <w:keepLines/>
        <w:tabs>
          <w:tab w:val="clear" w:pos="360"/>
          <w:tab w:val="clear" w:pos="720"/>
          <w:tab w:val="clear" w:pos="810"/>
        </w:tabs>
        <w:ind w:left="0" w:firstLine="0"/>
      </w:pPr>
    </w:p>
    <w:p w:rsidR="00570448" w:rsidRPr="00570448" w:rsidRDefault="001B30ED" w:rsidP="00666149">
      <w:pPr>
        <w:keepNext/>
        <w:keepLines/>
        <w:tabs>
          <w:tab w:val="clear" w:pos="360"/>
          <w:tab w:val="clear" w:pos="720"/>
          <w:tab w:val="clear" w:pos="810"/>
        </w:tabs>
        <w:ind w:left="0" w:firstLine="0"/>
      </w:pPr>
      <w:r>
        <w:rPr>
          <w:u w:val="single"/>
        </w:rPr>
        <w:t>Check</w:t>
      </w:r>
      <w:r w:rsidRPr="001B30ED">
        <w:rPr>
          <w:u w:val="single"/>
        </w:rPr>
        <w:t xml:space="preserve"> Here</w:t>
      </w:r>
      <w:r>
        <w:t xml:space="preserve"> - </w:t>
      </w:r>
      <w:r w:rsidR="00570448" w:rsidRPr="001B30ED">
        <w:t>If</w:t>
      </w:r>
      <w:r w:rsidR="00570448">
        <w:t xml:space="preserve"> the faculty member will </w:t>
      </w:r>
      <w:r w:rsidR="00570448">
        <w:rPr>
          <w:i/>
        </w:rPr>
        <w:t>not</w:t>
      </w:r>
      <w:r w:rsidR="00570448">
        <w:t xml:space="preserve"> be engaging in </w:t>
      </w:r>
      <w:r w:rsidR="0030399C">
        <w:t xml:space="preserve">any </w:t>
      </w:r>
      <w:r w:rsidR="00570448">
        <w:t>outside employment during the next academic year</w:t>
      </w:r>
      <w:r w:rsidR="00187D8E">
        <w:t>.  The Form must still be submitted,</w:t>
      </w:r>
      <w:r>
        <w:t xml:space="preserve"> signed by the department/division chair and the dean and </w:t>
      </w:r>
      <w:r w:rsidR="00187D8E">
        <w:t>forward</w:t>
      </w:r>
      <w:r>
        <w:t>ed to the provost.</w:t>
      </w:r>
    </w:p>
    <w:p w:rsidR="00570448" w:rsidRDefault="00570448" w:rsidP="00570448">
      <w:pPr>
        <w:tabs>
          <w:tab w:val="clear" w:pos="360"/>
          <w:tab w:val="clear" w:pos="720"/>
          <w:tab w:val="clear" w:pos="810"/>
        </w:tabs>
        <w:ind w:left="0" w:firstLine="0"/>
      </w:pPr>
    </w:p>
    <w:p w:rsidR="00570448" w:rsidRDefault="00570448" w:rsidP="002A7082">
      <w:pPr>
        <w:tabs>
          <w:tab w:val="clear" w:pos="360"/>
          <w:tab w:val="clear" w:pos="720"/>
          <w:tab w:val="clear" w:pos="810"/>
        </w:tabs>
        <w:ind w:left="0" w:firstLine="0"/>
      </w:pPr>
      <w:r>
        <w:rPr>
          <w:u w:val="single"/>
        </w:rPr>
        <w:t>Nature of Intended Outside Activit</w:t>
      </w:r>
      <w:r w:rsidR="008A2A40">
        <w:rPr>
          <w:u w:val="single"/>
        </w:rPr>
        <w:t>ies</w:t>
      </w:r>
      <w:r>
        <w:t xml:space="preserve"> – </w:t>
      </w:r>
      <w:r w:rsidR="0030399C">
        <w:t>This includes but is not limited to:</w:t>
      </w:r>
    </w:p>
    <w:p w:rsidR="00564153" w:rsidRDefault="00564153" w:rsidP="002A7082">
      <w:pPr>
        <w:tabs>
          <w:tab w:val="clear" w:pos="360"/>
          <w:tab w:val="clear" w:pos="720"/>
          <w:tab w:val="clear" w:pos="810"/>
        </w:tabs>
        <w:ind w:left="0" w:firstLine="0"/>
      </w:pPr>
    </w:p>
    <w:p w:rsidR="008852B5" w:rsidRDefault="008852B5" w:rsidP="0030399C">
      <w:pPr>
        <w:pStyle w:val="ListParagraph"/>
        <w:numPr>
          <w:ilvl w:val="0"/>
          <w:numId w:val="1"/>
        </w:numPr>
        <w:tabs>
          <w:tab w:val="clear" w:pos="360"/>
          <w:tab w:val="clear" w:pos="720"/>
          <w:tab w:val="clear" w:pos="810"/>
        </w:tabs>
      </w:pPr>
      <w:r>
        <w:t>External p</w:t>
      </w:r>
      <w:r w:rsidRPr="00C345DB">
        <w:t>rofessional consulting</w:t>
      </w:r>
      <w:r>
        <w:t>, paid or unpaid</w:t>
      </w:r>
      <w:r w:rsidR="00944992">
        <w:t>.  Be specific about the nature of the consulting</w:t>
      </w:r>
      <w:r w:rsidR="00395E3E">
        <w:t>, e.g., company or organization for whom the services will be performed, etc.</w:t>
      </w:r>
      <w:r>
        <w:t>;</w:t>
      </w:r>
    </w:p>
    <w:p w:rsidR="008852B5" w:rsidRDefault="008852B5" w:rsidP="008852B5">
      <w:pPr>
        <w:pStyle w:val="ListParagraph"/>
        <w:tabs>
          <w:tab w:val="clear" w:pos="360"/>
          <w:tab w:val="clear" w:pos="720"/>
          <w:tab w:val="clear" w:pos="810"/>
        </w:tabs>
        <w:ind w:firstLine="0"/>
      </w:pPr>
    </w:p>
    <w:p w:rsidR="00BE2AC5" w:rsidRDefault="008852B5" w:rsidP="0030399C">
      <w:pPr>
        <w:pStyle w:val="ListParagraph"/>
        <w:numPr>
          <w:ilvl w:val="0"/>
          <w:numId w:val="1"/>
        </w:numPr>
        <w:tabs>
          <w:tab w:val="clear" w:pos="360"/>
          <w:tab w:val="clear" w:pos="720"/>
          <w:tab w:val="clear" w:pos="810"/>
        </w:tabs>
      </w:pPr>
      <w:r>
        <w:t>External professional ser</w:t>
      </w:r>
      <w:r w:rsidRPr="00C345DB">
        <w:t>vices</w:t>
      </w:r>
      <w:r>
        <w:t>, paid or unpaid</w:t>
      </w:r>
      <w:r w:rsidR="00944992">
        <w:t>.  Be specific about the nature of the professional services, e.g., company or organization for whom the services will be performed,</w:t>
      </w:r>
      <w:r w:rsidR="00395E3E">
        <w:t xml:space="preserve"> etc.</w:t>
      </w:r>
      <w:r>
        <w:t>;</w:t>
      </w:r>
    </w:p>
    <w:p w:rsidR="008852B5" w:rsidRDefault="008852B5" w:rsidP="008852B5">
      <w:pPr>
        <w:pStyle w:val="ListParagraph"/>
        <w:tabs>
          <w:tab w:val="clear" w:pos="360"/>
          <w:tab w:val="clear" w:pos="720"/>
          <w:tab w:val="clear" w:pos="810"/>
        </w:tabs>
        <w:ind w:firstLine="0"/>
      </w:pPr>
    </w:p>
    <w:p w:rsidR="00502502" w:rsidRDefault="00564153" w:rsidP="0030399C">
      <w:pPr>
        <w:pStyle w:val="ListParagraph"/>
        <w:numPr>
          <w:ilvl w:val="0"/>
          <w:numId w:val="1"/>
        </w:numPr>
        <w:tabs>
          <w:tab w:val="clear" w:pos="360"/>
          <w:tab w:val="clear" w:pos="720"/>
          <w:tab w:val="clear" w:pos="810"/>
        </w:tabs>
      </w:pPr>
      <w:r>
        <w:t>All o</w:t>
      </w:r>
      <w:r w:rsidR="0030399C">
        <w:t>verload contracts with</w:t>
      </w:r>
      <w:r w:rsidR="00502502">
        <w:t>in</w:t>
      </w:r>
      <w:r>
        <w:t xml:space="preserve"> the</w:t>
      </w:r>
      <w:r w:rsidR="00502502">
        <w:t xml:space="preserve"> University of Baltimore</w:t>
      </w:r>
      <w:r>
        <w:t xml:space="preserve"> for:</w:t>
      </w:r>
    </w:p>
    <w:p w:rsidR="00564153" w:rsidRDefault="00564153" w:rsidP="00564153">
      <w:pPr>
        <w:pStyle w:val="ListParagraph"/>
        <w:numPr>
          <w:ilvl w:val="1"/>
          <w:numId w:val="1"/>
        </w:numPr>
        <w:tabs>
          <w:tab w:val="clear" w:pos="360"/>
          <w:tab w:val="clear" w:pos="720"/>
          <w:tab w:val="clear" w:pos="810"/>
        </w:tabs>
      </w:pPr>
      <w:r>
        <w:t>Overload teaching (maximum allowed of one per semester);</w:t>
      </w:r>
    </w:p>
    <w:p w:rsidR="00564153" w:rsidRDefault="00564153" w:rsidP="00564153">
      <w:pPr>
        <w:pStyle w:val="ListParagraph"/>
        <w:numPr>
          <w:ilvl w:val="1"/>
          <w:numId w:val="1"/>
        </w:numPr>
        <w:tabs>
          <w:tab w:val="clear" w:pos="360"/>
          <w:tab w:val="clear" w:pos="720"/>
          <w:tab w:val="clear" w:pos="810"/>
        </w:tabs>
      </w:pPr>
      <w:r>
        <w:t>Work on sponsored projects;</w:t>
      </w:r>
    </w:p>
    <w:p w:rsidR="00564153" w:rsidRDefault="00564153" w:rsidP="00564153">
      <w:pPr>
        <w:pStyle w:val="ListParagraph"/>
        <w:numPr>
          <w:ilvl w:val="1"/>
          <w:numId w:val="1"/>
        </w:numPr>
        <w:tabs>
          <w:tab w:val="clear" w:pos="360"/>
          <w:tab w:val="clear" w:pos="720"/>
          <w:tab w:val="clear" w:pos="810"/>
        </w:tabs>
      </w:pPr>
      <w:r>
        <w:t>Administrative work not included in regular workload; and</w:t>
      </w:r>
    </w:p>
    <w:p w:rsidR="00564153" w:rsidRDefault="00564153" w:rsidP="00564153">
      <w:pPr>
        <w:pStyle w:val="ListParagraph"/>
        <w:numPr>
          <w:ilvl w:val="1"/>
          <w:numId w:val="1"/>
        </w:numPr>
        <w:tabs>
          <w:tab w:val="clear" w:pos="360"/>
          <w:tab w:val="clear" w:pos="720"/>
          <w:tab w:val="clear" w:pos="810"/>
        </w:tabs>
      </w:pPr>
      <w:r>
        <w:t>Other work for pay beyond faculty salary.</w:t>
      </w:r>
    </w:p>
    <w:p w:rsidR="00564153" w:rsidRDefault="00564153" w:rsidP="00564153">
      <w:pPr>
        <w:pStyle w:val="ListParagraph"/>
        <w:tabs>
          <w:tab w:val="clear" w:pos="360"/>
          <w:tab w:val="clear" w:pos="720"/>
          <w:tab w:val="clear" w:pos="810"/>
        </w:tabs>
        <w:ind w:left="1440" w:firstLine="0"/>
      </w:pPr>
    </w:p>
    <w:p w:rsidR="0030399C" w:rsidRDefault="0030399C" w:rsidP="0030399C">
      <w:pPr>
        <w:pStyle w:val="ListParagraph"/>
        <w:numPr>
          <w:ilvl w:val="0"/>
          <w:numId w:val="1"/>
        </w:numPr>
        <w:tabs>
          <w:tab w:val="clear" w:pos="360"/>
          <w:tab w:val="clear" w:pos="720"/>
          <w:tab w:val="clear" w:pos="810"/>
        </w:tabs>
      </w:pPr>
      <w:r>
        <w:t>Teaching outside the institution</w:t>
      </w:r>
      <w:r w:rsidR="00395E3E">
        <w:t>, paid or unpaid</w:t>
      </w:r>
      <w:r>
        <w:t xml:space="preserve"> – Teaching at another institution must be reported here, but </w:t>
      </w:r>
      <w:r w:rsidR="00502502">
        <w:t>must</w:t>
      </w:r>
      <w:r>
        <w:t xml:space="preserve"> also be approved</w:t>
      </w:r>
      <w:r w:rsidR="00502502">
        <w:t xml:space="preserve"> </w:t>
      </w:r>
      <w:r>
        <w:t>through the following process</w:t>
      </w:r>
      <w:r w:rsidR="00502502">
        <w:t xml:space="preserve"> </w:t>
      </w:r>
      <w:r w:rsidR="00502502" w:rsidRPr="00502502">
        <w:rPr>
          <w:b/>
          <w:i/>
        </w:rPr>
        <w:t>prior</w:t>
      </w:r>
      <w:r w:rsidR="00502502">
        <w:t xml:space="preserve"> to start of contract date</w:t>
      </w:r>
      <w:r>
        <w:t>:</w:t>
      </w:r>
    </w:p>
    <w:p w:rsidR="0030399C" w:rsidRDefault="0030399C" w:rsidP="0030399C">
      <w:pPr>
        <w:pStyle w:val="ListParagraph"/>
        <w:numPr>
          <w:ilvl w:val="1"/>
          <w:numId w:val="1"/>
        </w:numPr>
        <w:tabs>
          <w:tab w:val="clear" w:pos="360"/>
          <w:tab w:val="clear" w:pos="720"/>
          <w:tab w:val="clear" w:pos="810"/>
        </w:tabs>
      </w:pPr>
      <w:r>
        <w:lastRenderedPageBreak/>
        <w:t>Request is made by the faculty member to the department/division chair, who forwards it to the dean along with his/her recommendation;</w:t>
      </w:r>
    </w:p>
    <w:p w:rsidR="00502502" w:rsidRDefault="0030399C" w:rsidP="0030399C">
      <w:pPr>
        <w:pStyle w:val="ListParagraph"/>
        <w:numPr>
          <w:ilvl w:val="1"/>
          <w:numId w:val="1"/>
        </w:numPr>
        <w:tabs>
          <w:tab w:val="clear" w:pos="360"/>
          <w:tab w:val="clear" w:pos="720"/>
          <w:tab w:val="clear" w:pos="810"/>
        </w:tabs>
      </w:pPr>
      <w:r>
        <w:t>Dean forwards the request and his/her recommendation to the provost</w:t>
      </w:r>
      <w:r w:rsidR="00502502">
        <w:t>;</w:t>
      </w:r>
    </w:p>
    <w:p w:rsidR="00564153" w:rsidRDefault="00502502" w:rsidP="0030399C">
      <w:pPr>
        <w:pStyle w:val="ListParagraph"/>
        <w:numPr>
          <w:ilvl w:val="1"/>
          <w:numId w:val="1"/>
        </w:numPr>
        <w:tabs>
          <w:tab w:val="clear" w:pos="360"/>
          <w:tab w:val="clear" w:pos="720"/>
          <w:tab w:val="clear" w:pos="810"/>
        </w:tabs>
      </w:pPr>
      <w:r>
        <w:t>Provost’s decision will be communicated</w:t>
      </w:r>
      <w:r w:rsidR="00564153">
        <w:t xml:space="preserve"> back to the dean.</w:t>
      </w:r>
    </w:p>
    <w:p w:rsidR="00502502" w:rsidRDefault="00564153" w:rsidP="0030399C">
      <w:pPr>
        <w:pStyle w:val="ListParagraph"/>
        <w:numPr>
          <w:ilvl w:val="1"/>
          <w:numId w:val="1"/>
        </w:numPr>
        <w:tabs>
          <w:tab w:val="clear" w:pos="360"/>
          <w:tab w:val="clear" w:pos="720"/>
          <w:tab w:val="clear" w:pos="810"/>
        </w:tabs>
      </w:pPr>
      <w:r>
        <w:t xml:space="preserve">The Office of the Provost will prepare a letter </w:t>
      </w:r>
      <w:r w:rsidR="00502502">
        <w:t xml:space="preserve">to the </w:t>
      </w:r>
      <w:r>
        <w:t>outside institution approving the teaching</w:t>
      </w:r>
      <w:r w:rsidR="00187D8E">
        <w:t xml:space="preserve"> assignment</w:t>
      </w:r>
      <w:r>
        <w:t>.</w:t>
      </w:r>
    </w:p>
    <w:p w:rsidR="00DF56D6" w:rsidRDefault="00DF56D6" w:rsidP="008852B5">
      <w:pPr>
        <w:tabs>
          <w:tab w:val="clear" w:pos="360"/>
          <w:tab w:val="clear" w:pos="720"/>
          <w:tab w:val="clear" w:pos="810"/>
        </w:tabs>
        <w:ind w:left="0" w:firstLine="0"/>
      </w:pPr>
    </w:p>
    <w:sectPr w:rsidR="00DF56D6" w:rsidSect="00666149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D30"/>
    <w:multiLevelType w:val="hybridMultilevel"/>
    <w:tmpl w:val="B4967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F1297"/>
    <w:multiLevelType w:val="hybridMultilevel"/>
    <w:tmpl w:val="D228C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82"/>
    <w:rsid w:val="000171D5"/>
    <w:rsid w:val="00025404"/>
    <w:rsid w:val="000577DC"/>
    <w:rsid w:val="000E0560"/>
    <w:rsid w:val="001240A2"/>
    <w:rsid w:val="00172D71"/>
    <w:rsid w:val="00186B69"/>
    <w:rsid w:val="00187D8E"/>
    <w:rsid w:val="00191F06"/>
    <w:rsid w:val="001B30ED"/>
    <w:rsid w:val="001F4481"/>
    <w:rsid w:val="00276CFE"/>
    <w:rsid w:val="002A7082"/>
    <w:rsid w:val="002D3B08"/>
    <w:rsid w:val="0030399C"/>
    <w:rsid w:val="00307B36"/>
    <w:rsid w:val="00310F5D"/>
    <w:rsid w:val="0037552E"/>
    <w:rsid w:val="00395E3E"/>
    <w:rsid w:val="003F75BE"/>
    <w:rsid w:val="004F5601"/>
    <w:rsid w:val="00502502"/>
    <w:rsid w:val="00553C17"/>
    <w:rsid w:val="00562FFD"/>
    <w:rsid w:val="00564153"/>
    <w:rsid w:val="00570448"/>
    <w:rsid w:val="00610B68"/>
    <w:rsid w:val="00666149"/>
    <w:rsid w:val="006C01E8"/>
    <w:rsid w:val="006D0BBC"/>
    <w:rsid w:val="0079744E"/>
    <w:rsid w:val="007B58E2"/>
    <w:rsid w:val="008444C0"/>
    <w:rsid w:val="00861788"/>
    <w:rsid w:val="008852B5"/>
    <w:rsid w:val="008A2A40"/>
    <w:rsid w:val="008C708F"/>
    <w:rsid w:val="00935A17"/>
    <w:rsid w:val="00944992"/>
    <w:rsid w:val="009966C4"/>
    <w:rsid w:val="00A057C6"/>
    <w:rsid w:val="00A701AF"/>
    <w:rsid w:val="00AE4DCE"/>
    <w:rsid w:val="00BB0B61"/>
    <w:rsid w:val="00BC63E0"/>
    <w:rsid w:val="00BE2AC5"/>
    <w:rsid w:val="00C345DB"/>
    <w:rsid w:val="00CA18A1"/>
    <w:rsid w:val="00D80DEE"/>
    <w:rsid w:val="00DF56D6"/>
    <w:rsid w:val="00E47B03"/>
    <w:rsid w:val="00F6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0C8369-DF96-4171-B826-A763715D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1AF"/>
    <w:pPr>
      <w:tabs>
        <w:tab w:val="left" w:pos="360"/>
        <w:tab w:val="left" w:pos="720"/>
        <w:tab w:val="left" w:pos="810"/>
      </w:tabs>
      <w:ind w:left="720" w:hanging="72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A701AF"/>
    <w:pPr>
      <w:tabs>
        <w:tab w:val="clear" w:pos="360"/>
        <w:tab w:val="clear" w:pos="720"/>
        <w:tab w:val="clear" w:pos="810"/>
      </w:tabs>
      <w:ind w:left="0" w:firstLine="0"/>
    </w:pPr>
  </w:style>
  <w:style w:type="character" w:customStyle="1" w:styleId="Style1Char">
    <w:name w:val="Style1 Char"/>
    <w:basedOn w:val="DefaultParagraphFont"/>
    <w:link w:val="Style1"/>
    <w:rsid w:val="00A701AF"/>
    <w:rPr>
      <w:snapToGrid w:val="0"/>
      <w:sz w:val="24"/>
    </w:rPr>
  </w:style>
  <w:style w:type="character" w:styleId="Hyperlink">
    <w:name w:val="Hyperlink"/>
    <w:basedOn w:val="DefaultParagraphFont"/>
    <w:uiPriority w:val="99"/>
    <w:unhideWhenUsed/>
    <w:rsid w:val="00553C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399C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9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92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3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1933">
              <w:marLeft w:val="0"/>
              <w:marRight w:val="0"/>
              <w:marTop w:val="0"/>
              <w:marBottom w:val="0"/>
              <w:divBdr>
                <w:top w:val="single" w:sz="36" w:space="0" w:color="FFFFFF"/>
                <w:left w:val="single" w:sz="36" w:space="0" w:color="FFFFFF"/>
                <w:bottom w:val="single" w:sz="36" w:space="0" w:color="FFFFFF"/>
                <w:right w:val="single" w:sz="36" w:space="0" w:color="FFFFFF"/>
              </w:divBdr>
              <w:divsChild>
                <w:div w:id="1235358471">
                  <w:marLeft w:val="45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36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1379">
              <w:marLeft w:val="0"/>
              <w:marRight w:val="0"/>
              <w:marTop w:val="0"/>
              <w:marBottom w:val="0"/>
              <w:divBdr>
                <w:top w:val="single" w:sz="36" w:space="0" w:color="FFFFFF"/>
                <w:left w:val="single" w:sz="36" w:space="0" w:color="FFFFFF"/>
                <w:bottom w:val="single" w:sz="36" w:space="0" w:color="FFFFFF"/>
                <w:right w:val="single" w:sz="36" w:space="0" w:color="FFFFFF"/>
              </w:divBdr>
              <w:divsChild>
                <w:div w:id="1818645271">
                  <w:marLeft w:val="45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48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7218">
              <w:marLeft w:val="0"/>
              <w:marRight w:val="0"/>
              <w:marTop w:val="0"/>
              <w:marBottom w:val="0"/>
              <w:divBdr>
                <w:top w:val="single" w:sz="36" w:space="0" w:color="FFFFFF"/>
                <w:left w:val="single" w:sz="36" w:space="0" w:color="FFFFFF"/>
                <w:bottom w:val="single" w:sz="36" w:space="0" w:color="FFFFFF"/>
                <w:right w:val="single" w:sz="36" w:space="0" w:color="FFFFFF"/>
              </w:divBdr>
              <w:divsChild>
                <w:div w:id="1378048157">
                  <w:marLeft w:val="45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balt.edu/policies/index.cfm?page=136" TargetMode="External"/><Relationship Id="rId5" Type="http://schemas.openxmlformats.org/officeDocument/2006/relationships/hyperlink" Target="http://www.usmd.edu/regents/bylaws/SectionII/II31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3477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Baltimore</Company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Starrla Kay Levine</dc:creator>
  <cp:keywords/>
  <dc:description/>
  <cp:lastModifiedBy>Candace Caraco</cp:lastModifiedBy>
  <cp:revision>2</cp:revision>
  <cp:lastPrinted>2010-10-27T17:53:00Z</cp:lastPrinted>
  <dcterms:created xsi:type="dcterms:W3CDTF">2016-11-18T19:12:00Z</dcterms:created>
  <dcterms:modified xsi:type="dcterms:W3CDTF">2016-11-18T19:12:00Z</dcterms:modified>
</cp:coreProperties>
</file>