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66" w:rsidRDefault="00FF6F2A" w:rsidP="00FF6F2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Program Approval Calendar, 20</w:t>
      </w:r>
      <w:r w:rsidR="00355792">
        <w:rPr>
          <w:rFonts w:ascii="Arial Black" w:hAnsi="Arial Black"/>
          <w:sz w:val="28"/>
          <w:szCs w:val="28"/>
        </w:rPr>
        <w:t>21</w:t>
      </w:r>
      <w:r>
        <w:rPr>
          <w:rFonts w:ascii="Arial Black" w:hAnsi="Arial Black"/>
          <w:sz w:val="28"/>
          <w:szCs w:val="28"/>
        </w:rPr>
        <w:t>-202</w:t>
      </w:r>
      <w:r w:rsidR="00355792">
        <w:rPr>
          <w:rFonts w:ascii="Arial Black" w:hAnsi="Arial Black"/>
          <w:sz w:val="28"/>
          <w:szCs w:val="28"/>
        </w:rPr>
        <w:t>2</w:t>
      </w:r>
    </w:p>
    <w:p w:rsidR="00FF6F2A" w:rsidRDefault="00FF6F2A" w:rsidP="00FF6F2A">
      <w:pPr>
        <w:jc w:val="center"/>
        <w:rPr>
          <w:rFonts w:ascii="Arial Black" w:hAnsi="Arial Black"/>
          <w:sz w:val="28"/>
          <w:szCs w:val="28"/>
        </w:rPr>
      </w:pPr>
    </w:p>
    <w:p w:rsidR="00FF6F2A" w:rsidRPr="00B51FE7" w:rsidRDefault="00FF6F2A" w:rsidP="00FF6F2A">
      <w:pPr>
        <w:rPr>
          <w:rFonts w:ascii="Arial Nova" w:hAnsi="Arial Nova"/>
          <w:sz w:val="24"/>
          <w:szCs w:val="24"/>
        </w:rPr>
      </w:pPr>
      <w:r w:rsidRPr="00B51FE7">
        <w:rPr>
          <w:rFonts w:ascii="Arial Nova" w:hAnsi="Arial Nova"/>
          <w:sz w:val="24"/>
          <w:szCs w:val="24"/>
        </w:rPr>
        <w:t xml:space="preserve">Any curriculum action that must be submitted to the University System of Maryland </w:t>
      </w:r>
      <w:r w:rsidR="00B51FE7">
        <w:rPr>
          <w:rFonts w:ascii="Arial Nova" w:hAnsi="Arial Nova"/>
          <w:sz w:val="24"/>
          <w:szCs w:val="24"/>
        </w:rPr>
        <w:t xml:space="preserve">(USM) </w:t>
      </w:r>
      <w:r w:rsidRPr="00B51FE7">
        <w:rPr>
          <w:rFonts w:ascii="Arial Nova" w:hAnsi="Arial Nova"/>
          <w:sz w:val="24"/>
          <w:szCs w:val="24"/>
        </w:rPr>
        <w:t xml:space="preserve">for the review of the Chancellor or the Education Policy and Student Life Committee </w:t>
      </w:r>
      <w:r w:rsidR="00B51FE7" w:rsidRPr="00B51FE7">
        <w:rPr>
          <w:rFonts w:ascii="Arial Nova" w:hAnsi="Arial Nova"/>
          <w:sz w:val="24"/>
          <w:szCs w:val="24"/>
        </w:rPr>
        <w:t xml:space="preserve">(EPSLC) </w:t>
      </w:r>
      <w:r w:rsidRPr="00B51FE7">
        <w:rPr>
          <w:rFonts w:ascii="Arial Nova" w:hAnsi="Arial Nova"/>
          <w:sz w:val="24"/>
          <w:szCs w:val="24"/>
        </w:rPr>
        <w:t>and the Board of Regents</w:t>
      </w:r>
      <w:r w:rsidR="00B51FE7" w:rsidRPr="00B51FE7">
        <w:rPr>
          <w:rFonts w:ascii="Arial Nova" w:hAnsi="Arial Nova"/>
          <w:sz w:val="24"/>
          <w:szCs w:val="24"/>
        </w:rPr>
        <w:t xml:space="preserve"> (BOR)</w:t>
      </w:r>
      <w:r w:rsidRPr="00B51FE7">
        <w:rPr>
          <w:rFonts w:ascii="Arial Nova" w:hAnsi="Arial Nova"/>
          <w:sz w:val="24"/>
          <w:szCs w:val="24"/>
        </w:rPr>
        <w:t xml:space="preserve"> must also be approved by the University Faculty Senate.</w:t>
      </w:r>
      <w:r w:rsidR="00B51FE7">
        <w:rPr>
          <w:rFonts w:ascii="Arial Nova" w:hAnsi="Arial Nova"/>
          <w:sz w:val="24"/>
          <w:szCs w:val="24"/>
        </w:rPr>
        <w:t xml:space="preserve"> Submissions can only be made in the windows indicated below.</w:t>
      </w:r>
      <w:r w:rsidR="001A6E7A">
        <w:rPr>
          <w:rFonts w:ascii="Arial Nova" w:hAnsi="Arial Nova"/>
          <w:sz w:val="24"/>
          <w:szCs w:val="24"/>
        </w:rPr>
        <w:t xml:space="preserve"> Generally, the Office of the Provost needs another 10 hours after UFS to put into a proposal before submission (letters, forms, revisions, data etc.).</w:t>
      </w:r>
    </w:p>
    <w:p w:rsidR="00B51FE7" w:rsidRPr="00B51FE7" w:rsidRDefault="00B51FE7" w:rsidP="00FF6F2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USM</w:t>
      </w:r>
      <w:r w:rsidR="00FF6F2A" w:rsidRPr="00B51FE7">
        <w:rPr>
          <w:rFonts w:ascii="Arial Nova" w:hAnsi="Arial Nova"/>
          <w:sz w:val="24"/>
          <w:szCs w:val="24"/>
        </w:rPr>
        <w:t xml:space="preserve"> permits simultaneous submission of a full program proposal to the Chancellor’s Office and to the Maryland Higher Education Commission</w:t>
      </w:r>
      <w:r>
        <w:rPr>
          <w:rFonts w:ascii="Arial Nova" w:hAnsi="Arial Nova"/>
          <w:sz w:val="24"/>
          <w:szCs w:val="24"/>
        </w:rPr>
        <w:t xml:space="preserve"> (MHEC)</w:t>
      </w:r>
      <w:r w:rsidR="00FF6F2A" w:rsidRPr="00B51FE7">
        <w:rPr>
          <w:rFonts w:ascii="Arial Nova" w:hAnsi="Arial Nova"/>
          <w:sz w:val="24"/>
          <w:szCs w:val="24"/>
        </w:rPr>
        <w:t xml:space="preserve">.  Program proposals are required for new degree programs, new certificates not composed of courses within one degree, and substantive changes in existing programs (for format, </w:t>
      </w:r>
      <w:r w:rsidRPr="00B51FE7">
        <w:rPr>
          <w:rFonts w:ascii="Arial Nova" w:hAnsi="Arial Nova"/>
          <w:sz w:val="24"/>
          <w:szCs w:val="24"/>
        </w:rPr>
        <w:t xml:space="preserve">see </w:t>
      </w:r>
      <w:hyperlink r:id="rId4" w:history="1">
        <w:r w:rsidRPr="00B51FE7">
          <w:rPr>
            <w:rStyle w:val="Hyperlink"/>
            <w:rFonts w:ascii="Arial Nova" w:hAnsi="Arial Nova"/>
            <w:sz w:val="24"/>
            <w:szCs w:val="24"/>
          </w:rPr>
          <w:t>MHEC outline</w:t>
        </w:r>
      </w:hyperlink>
      <w:r w:rsidRPr="00B51FE7">
        <w:rPr>
          <w:rFonts w:ascii="Arial Nova" w:hAnsi="Arial Nova"/>
          <w:sz w:val="24"/>
          <w:szCs w:val="24"/>
        </w:rPr>
        <w:t xml:space="preserve">). </w:t>
      </w:r>
    </w:p>
    <w:p w:rsidR="00FF6F2A" w:rsidRPr="001A6E7A" w:rsidRDefault="00B51FE7" w:rsidP="001A6E7A">
      <w:pPr>
        <w:rPr>
          <w:rFonts w:ascii="Arial Nova" w:hAnsi="Arial Nova"/>
          <w:sz w:val="24"/>
          <w:szCs w:val="24"/>
        </w:rPr>
      </w:pPr>
      <w:r w:rsidRPr="00B51FE7">
        <w:rPr>
          <w:rFonts w:ascii="Arial Nova" w:hAnsi="Arial Nova"/>
          <w:sz w:val="24"/>
          <w:szCs w:val="24"/>
        </w:rPr>
        <w:t>MHEC is to approve or disapprove complete</w:t>
      </w:r>
      <w:r>
        <w:rPr>
          <w:rFonts w:ascii="Arial Nova" w:hAnsi="Arial Nova"/>
          <w:sz w:val="24"/>
          <w:szCs w:val="24"/>
        </w:rPr>
        <w:t>d</w:t>
      </w:r>
      <w:r w:rsidRPr="00B51FE7">
        <w:rPr>
          <w:rFonts w:ascii="Arial Nova" w:hAnsi="Arial Nova"/>
          <w:sz w:val="24"/>
          <w:szCs w:val="24"/>
        </w:rPr>
        <w:t xml:space="preserve"> proposals in 60 days.  In practice, MHEC takes a couple of weeks to review proposals for completeness and request edits; then the proposal circulated for potential objections to all chief academic officers in the state for 30 days; and then MHEC approves or doesn’t within 30 days after that. Certificates will need USDE Gainful Employment approval as well (add 6-9 weeks more until July 1, 2020 when the regulation will be repealed).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245"/>
        <w:gridCol w:w="2160"/>
        <w:gridCol w:w="1994"/>
        <w:gridCol w:w="2416"/>
        <w:gridCol w:w="1978"/>
        <w:gridCol w:w="2157"/>
      </w:tblGrid>
      <w:tr w:rsidR="00FF6F2A" w:rsidTr="00924611">
        <w:tc>
          <w:tcPr>
            <w:tcW w:w="2245" w:type="dxa"/>
          </w:tcPr>
          <w:p w:rsidR="00FF6F2A" w:rsidRDefault="001A6E7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School/College Committee Date(s)</w:t>
            </w:r>
          </w:p>
        </w:tc>
        <w:tc>
          <w:tcPr>
            <w:tcW w:w="2160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Provost’s Curriculum Review Committee</w:t>
            </w:r>
          </w:p>
        </w:tc>
        <w:tc>
          <w:tcPr>
            <w:tcW w:w="1994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Faculty Senate</w:t>
            </w:r>
          </w:p>
        </w:tc>
        <w:tc>
          <w:tcPr>
            <w:tcW w:w="2416" w:type="dxa"/>
          </w:tcPr>
          <w:p w:rsidR="00FF6F2A" w:rsidRPr="00E6262D" w:rsidRDefault="00FF6F2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2D">
              <w:rPr>
                <w:rFonts w:ascii="Times New Roman" w:hAnsi="Times New Roman" w:cs="Times New Roman"/>
                <w:b/>
                <w:sz w:val="24"/>
                <w:szCs w:val="24"/>
              </w:rPr>
              <w:t>Window for electronic submission of program proposals to MHEC and USM</w:t>
            </w:r>
          </w:p>
        </w:tc>
        <w:tc>
          <w:tcPr>
            <w:tcW w:w="1978" w:type="dxa"/>
          </w:tcPr>
          <w:p w:rsidR="00FF6F2A" w:rsidRPr="00E6262D" w:rsidRDefault="00FF6F2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EPS</w:t>
            </w:r>
            <w:r w:rsidRPr="00E6262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6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2157" w:type="dxa"/>
          </w:tcPr>
          <w:p w:rsidR="00FF6F2A" w:rsidRPr="00E6262D" w:rsidRDefault="00FF6F2A" w:rsidP="00FF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2D">
              <w:rPr>
                <w:rFonts w:ascii="Times New Roman" w:hAnsi="Times New Roman" w:cs="Times New Roman"/>
                <w:b/>
                <w:sz w:val="24"/>
                <w:szCs w:val="24"/>
              </w:rPr>
              <w:t>BOR Meeting</w:t>
            </w:r>
          </w:p>
        </w:tc>
      </w:tr>
      <w:tr w:rsidR="00FF6F2A" w:rsidTr="00924611">
        <w:tc>
          <w:tcPr>
            <w:tcW w:w="2245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4611" w:rsidRPr="00CF62CC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</w:tcPr>
          <w:p w:rsidR="00FF6F2A" w:rsidRPr="00CF62CC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16" w:type="dxa"/>
          </w:tcPr>
          <w:p w:rsidR="00FF6F2A" w:rsidRDefault="00CF62CC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CC">
              <w:rPr>
                <w:rFonts w:ascii="Times New Roman" w:hAnsi="Times New Roman" w:cs="Times New Roman"/>
                <w:sz w:val="24"/>
                <w:szCs w:val="24"/>
              </w:rPr>
              <w:t>07/19/21 – 08/02/21</w:t>
            </w:r>
          </w:p>
        </w:tc>
        <w:tc>
          <w:tcPr>
            <w:tcW w:w="1978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09/14/2021</w:t>
            </w:r>
          </w:p>
        </w:tc>
        <w:tc>
          <w:tcPr>
            <w:tcW w:w="2157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11/21/21</w:t>
            </w:r>
          </w:p>
        </w:tc>
      </w:tr>
      <w:tr w:rsidR="00FF6F2A" w:rsidTr="00924611">
        <w:tc>
          <w:tcPr>
            <w:tcW w:w="2245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F2A" w:rsidRDefault="001A6E7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24611" w:rsidRPr="00FF6F2A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F6F2A" w:rsidRPr="00FF6F2A" w:rsidRDefault="001A6E7A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416" w:type="dxa"/>
          </w:tcPr>
          <w:p w:rsidR="00FF6F2A" w:rsidRDefault="00CF62CC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09/20/21 – 10/04/21</w:t>
            </w:r>
          </w:p>
        </w:tc>
        <w:tc>
          <w:tcPr>
            <w:tcW w:w="1978" w:type="dxa"/>
          </w:tcPr>
          <w:p w:rsid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2CC">
              <w:rPr>
                <w:rFonts w:ascii="TimesNewRomanPSMT" w:hAnsi="TimesNewRomanPSMT" w:cs="TimesNewRomanPSMT"/>
                <w:sz w:val="24"/>
                <w:szCs w:val="24"/>
              </w:rPr>
              <w:t>1/08/2021</w:t>
            </w:r>
          </w:p>
        </w:tc>
        <w:tc>
          <w:tcPr>
            <w:tcW w:w="2157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12/10/21</w:t>
            </w:r>
          </w:p>
        </w:tc>
      </w:tr>
      <w:tr w:rsidR="00FF6F2A" w:rsidTr="00924611">
        <w:tc>
          <w:tcPr>
            <w:tcW w:w="2245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F2A" w:rsidRPr="00FF6F2A" w:rsidRDefault="001A6E7A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1994" w:type="dxa"/>
          </w:tcPr>
          <w:p w:rsidR="00FF6F2A" w:rsidRP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11/10/21</w:t>
            </w:r>
          </w:p>
        </w:tc>
        <w:tc>
          <w:tcPr>
            <w:tcW w:w="2416" w:type="dxa"/>
          </w:tcPr>
          <w:p w:rsidR="00924611" w:rsidRDefault="00FF6F2A" w:rsidP="00FF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2A" w:rsidRDefault="00924611" w:rsidP="00CF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6F2A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1/11/2022</w:t>
            </w:r>
          </w:p>
        </w:tc>
        <w:tc>
          <w:tcPr>
            <w:tcW w:w="2157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2/11/21</w:t>
            </w:r>
          </w:p>
        </w:tc>
      </w:tr>
      <w:tr w:rsidR="00FF6F2A" w:rsidTr="00924611">
        <w:tc>
          <w:tcPr>
            <w:tcW w:w="2245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11/15/21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 xml:space="preserve"> or 12/20/21</w:t>
            </w:r>
          </w:p>
          <w:p w:rsidR="00924611" w:rsidRPr="00FF6F2A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F6F2A" w:rsidRP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12/08/21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 xml:space="preserve"> or 01/20/22</w:t>
            </w:r>
          </w:p>
        </w:tc>
        <w:tc>
          <w:tcPr>
            <w:tcW w:w="2416" w:type="dxa"/>
          </w:tcPr>
          <w:p w:rsidR="00FF6F2A" w:rsidRDefault="00FF6F2A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02/0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3/04/2022</w:t>
            </w:r>
          </w:p>
        </w:tc>
        <w:tc>
          <w:tcPr>
            <w:tcW w:w="2157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4/29/22</w:t>
            </w:r>
          </w:p>
        </w:tc>
      </w:tr>
      <w:tr w:rsidR="00FF6F2A" w:rsidTr="00924611">
        <w:tc>
          <w:tcPr>
            <w:tcW w:w="2245" w:type="dxa"/>
          </w:tcPr>
          <w:p w:rsidR="00FF6F2A" w:rsidRPr="00FF6F2A" w:rsidRDefault="00FF6F2A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F2A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436E88" w:rsidRPr="00FF6F2A" w:rsidRDefault="00436E88" w:rsidP="0043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</w:t>
            </w:r>
            <w:r w:rsidR="0092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611" w:rsidRPr="00FF6F2A" w:rsidRDefault="00924611" w:rsidP="0043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F6F2A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436E88" w:rsidRPr="00FF6F2A" w:rsidRDefault="00924611" w:rsidP="0043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611" w:rsidRPr="00FF6F2A" w:rsidRDefault="00924611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F6F2A" w:rsidRDefault="00FF6F2A" w:rsidP="00CF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04/0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F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05/10/2022</w:t>
            </w:r>
          </w:p>
        </w:tc>
        <w:tc>
          <w:tcPr>
            <w:tcW w:w="2157" w:type="dxa"/>
          </w:tcPr>
          <w:p w:rsidR="00FF6F2A" w:rsidRDefault="00CF62CC" w:rsidP="00FF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6/17/22</w:t>
            </w:r>
          </w:p>
        </w:tc>
      </w:tr>
    </w:tbl>
    <w:p w:rsidR="00FF6F2A" w:rsidRPr="00924611" w:rsidRDefault="00FF6F2A" w:rsidP="00924611">
      <w:pPr>
        <w:rPr>
          <w:rFonts w:ascii="Arial Nova" w:hAnsi="Arial Nova"/>
          <w:sz w:val="24"/>
          <w:szCs w:val="24"/>
        </w:rPr>
      </w:pPr>
    </w:p>
    <w:sectPr w:rsidR="00FF6F2A" w:rsidRPr="00924611" w:rsidSect="00924611">
      <w:pgSz w:w="15840" w:h="12240" w:orient="landscape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A"/>
    <w:rsid w:val="001A6E7A"/>
    <w:rsid w:val="002D4478"/>
    <w:rsid w:val="00355792"/>
    <w:rsid w:val="00436E88"/>
    <w:rsid w:val="00924611"/>
    <w:rsid w:val="00B20CBB"/>
    <w:rsid w:val="00B51FE7"/>
    <w:rsid w:val="00CF62CC"/>
    <w:rsid w:val="00ED3C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4E8BB-983F-4ADA-90A1-2FA04E4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ec.state.md.us/institutions_training/Pages/acadaff/AcadProgInstitApprovals/NewAcademicProgramPropos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Caraco</dc:creator>
  <cp:keywords/>
  <dc:description/>
  <cp:lastModifiedBy>Alicia Campbell</cp:lastModifiedBy>
  <cp:revision>3</cp:revision>
  <dcterms:created xsi:type="dcterms:W3CDTF">2021-09-17T02:43:00Z</dcterms:created>
  <dcterms:modified xsi:type="dcterms:W3CDTF">2021-10-21T14:01:00Z</dcterms:modified>
</cp:coreProperties>
</file>